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Tablaconcuadrcula"/>
        <w:tblW w:w="9054" w:type="dxa"/>
        <w:tblLook w:val="04A0" w:firstRow="1" w:lastRow="0" w:firstColumn="1" w:lastColumn="0" w:noHBand="0" w:noVBand="1"/>
      </w:tblPr>
      <w:tblGrid>
        <w:gridCol w:w="2943"/>
        <w:gridCol w:w="1172"/>
        <w:gridCol w:w="1238"/>
        <w:gridCol w:w="1021"/>
        <w:gridCol w:w="2680"/>
      </w:tblGrid>
      <w:tr w:rsidR="009102BF" w14:paraId="14275B0F" w14:textId="77777777"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14:paraId="1360A7CC" w14:textId="552B88BE" w:rsidR="009102BF" w:rsidRDefault="00A71BA4" w:rsidP="00FB5676">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sz w:val="20"/>
                <w:szCs w:val="20"/>
                <w:lang w:eastAsia="es-MX"/>
              </w:rPr>
              <w:t xml:space="preserve">Exposición </w:t>
            </w:r>
            <w:r w:rsidR="00F37F28">
              <w:rPr>
                <w:rFonts w:ascii="Arial" w:eastAsia="Times New Roman" w:hAnsi="Arial" w:cs="Arial"/>
                <w:color w:val="FFFFFF" w:themeColor="background1"/>
                <w:sz w:val="20"/>
                <w:szCs w:val="20"/>
                <w:lang w:eastAsia="es-MX"/>
              </w:rPr>
              <w:t>8</w:t>
            </w:r>
            <w:r w:rsidR="009102BF">
              <w:rPr>
                <w:rFonts w:ascii="Arial" w:eastAsia="Times New Roman" w:hAnsi="Arial" w:cs="Arial"/>
                <w:color w:val="FFFFFF" w:themeColor="background1"/>
                <w:sz w:val="20"/>
                <w:szCs w:val="20"/>
                <w:lang w:eastAsia="es-MX"/>
              </w:rPr>
              <w:t xml:space="preserve"> de </w:t>
            </w:r>
            <w:r w:rsidR="006F64A9">
              <w:rPr>
                <w:rFonts w:ascii="Arial" w:eastAsia="Times New Roman" w:hAnsi="Arial" w:cs="Arial"/>
                <w:color w:val="FFFFFF" w:themeColor="background1"/>
                <w:sz w:val="20"/>
                <w:szCs w:val="20"/>
                <w:lang w:eastAsia="es-MX"/>
              </w:rPr>
              <w:t>10</w:t>
            </w:r>
          </w:p>
        </w:tc>
        <w:tc>
          <w:tcPr>
            <w:tcW w:w="6111" w:type="dxa"/>
            <w:gridSpan w:val="4"/>
            <w:tcBorders>
              <w:top w:val="single" w:sz="4" w:space="0" w:color="auto"/>
              <w:left w:val="single" w:sz="4" w:space="0" w:color="auto"/>
              <w:bottom w:val="single" w:sz="4" w:space="0" w:color="auto"/>
              <w:right w:val="single" w:sz="4" w:space="0" w:color="auto"/>
            </w:tcBorders>
            <w:shd w:val="clear" w:color="auto" w:fill="2E74B5" w:themeFill="accent1" w:themeFillShade="BF"/>
            <w:hideMark/>
          </w:tcPr>
          <w:p w14:paraId="7E1203C3" w14:textId="77777777" w:rsidR="009102BF" w:rsidRDefault="009102BF" w:rsidP="00424EC9">
            <w:pPr>
              <w:spacing w:line="240" w:lineRule="auto"/>
              <w:jc w:val="center"/>
              <w:rPr>
                <w:rFonts w:ascii="Arial" w:eastAsia="Times New Roman" w:hAnsi="Arial" w:cs="Arial"/>
                <w:color w:val="FFFFFF" w:themeColor="background1"/>
                <w:sz w:val="20"/>
                <w:szCs w:val="20"/>
                <w:lang w:eastAsia="es-MX"/>
              </w:rPr>
            </w:pPr>
            <w:r>
              <w:rPr>
                <w:rFonts w:ascii="Arial" w:eastAsia="Times New Roman" w:hAnsi="Arial" w:cs="Arial"/>
                <w:color w:val="FFFFFF" w:themeColor="background1"/>
                <w:lang w:eastAsia="es-MX"/>
              </w:rPr>
              <w:t>Inic</w:t>
            </w:r>
            <w:r w:rsidR="00EA3A58">
              <w:rPr>
                <w:rFonts w:ascii="Arial" w:eastAsia="Times New Roman" w:hAnsi="Arial" w:cs="Arial"/>
                <w:color w:val="FFFFFF" w:themeColor="background1"/>
                <w:lang w:eastAsia="es-MX"/>
              </w:rPr>
              <w:t>iativas para Ley de Ingreso 2020</w:t>
            </w:r>
          </w:p>
        </w:tc>
      </w:tr>
      <w:tr w:rsidR="009102BF" w14:paraId="7074122D" w14:textId="77777777" w:rsidTr="009102BF">
        <w:trPr>
          <w:tblHeader/>
        </w:trPr>
        <w:tc>
          <w:tcPr>
            <w:tcW w:w="9054" w:type="dxa"/>
            <w:gridSpan w:val="5"/>
            <w:tcBorders>
              <w:top w:val="single" w:sz="4" w:space="0" w:color="auto"/>
              <w:left w:val="single" w:sz="4" w:space="0" w:color="auto"/>
              <w:bottom w:val="single" w:sz="4" w:space="0" w:color="auto"/>
              <w:right w:val="single" w:sz="4" w:space="0" w:color="auto"/>
            </w:tcBorders>
            <w:hideMark/>
          </w:tcPr>
          <w:p w14:paraId="44DD14CF" w14:textId="77777777" w:rsidR="009102BF" w:rsidRDefault="009102BF" w:rsidP="00424EC9">
            <w:pPr>
              <w:spacing w:line="240" w:lineRule="auto"/>
              <w:jc w:val="center"/>
              <w:rPr>
                <w:rFonts w:ascii="Arial" w:eastAsia="Times New Roman" w:hAnsi="Arial" w:cs="Arial"/>
                <w:b/>
                <w:bCs/>
                <w:color w:val="000000"/>
                <w:sz w:val="36"/>
                <w:szCs w:val="36"/>
                <w:lang w:eastAsia="es-MX"/>
              </w:rPr>
            </w:pPr>
            <w:r>
              <w:rPr>
                <w:rFonts w:ascii="Arial" w:eastAsia="Times New Roman" w:hAnsi="Arial" w:cs="Arial"/>
                <w:b/>
                <w:bCs/>
                <w:color w:val="000000"/>
                <w:sz w:val="36"/>
                <w:szCs w:val="36"/>
                <w:lang w:eastAsia="es-MX"/>
              </w:rPr>
              <w:t>Formato para exposición motivos</w:t>
            </w:r>
          </w:p>
        </w:tc>
      </w:tr>
      <w:tr w:rsidR="009102BF" w14:paraId="093888D8" w14:textId="77777777" w:rsidTr="009102BF">
        <w:trPr>
          <w:tblHeader/>
        </w:trPr>
        <w:tc>
          <w:tcPr>
            <w:tcW w:w="2943"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14:paraId="2FEA4567" w14:textId="77777777" w:rsidR="009102BF" w:rsidRDefault="009102BF" w:rsidP="00424EC9">
            <w:pPr>
              <w:spacing w:line="240" w:lineRule="auto"/>
              <w:jc w:val="center"/>
              <w:rPr>
                <w:rFonts w:ascii="Arial" w:eastAsia="Times New Roman" w:hAnsi="Arial" w:cs="Arial"/>
                <w:color w:val="000000"/>
                <w:lang w:eastAsia="es-MX"/>
              </w:rPr>
            </w:pPr>
            <w:r>
              <w:rPr>
                <w:rFonts w:ascii="Arial" w:eastAsia="Times New Roman" w:hAnsi="Arial" w:cs="Arial"/>
                <w:color w:val="000000"/>
                <w:lang w:eastAsia="es-MX"/>
              </w:rPr>
              <w:t>Municipio</w:t>
            </w:r>
          </w:p>
        </w:tc>
        <w:tc>
          <w:tcPr>
            <w:tcW w:w="1172" w:type="dxa"/>
            <w:vMerge w:val="restart"/>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49756067" w14:textId="77777777" w:rsidR="009102BF" w:rsidRDefault="009102BF" w:rsidP="00424EC9">
            <w:pPr>
              <w:spacing w:line="240" w:lineRule="auto"/>
              <w:rPr>
                <w:rFonts w:ascii="Arial" w:eastAsia="Times New Roman" w:hAnsi="Arial" w:cs="Arial"/>
                <w:color w:val="000000"/>
                <w:sz w:val="20"/>
                <w:szCs w:val="20"/>
                <w:lang w:eastAsia="es-MX"/>
              </w:rPr>
            </w:pPr>
            <w:r>
              <w:rPr>
                <w:rFonts w:ascii="Arial" w:eastAsia="Times New Roman" w:hAnsi="Arial" w:cs="Arial"/>
                <w:color w:val="000000"/>
                <w:sz w:val="16"/>
                <w:szCs w:val="16"/>
                <w:lang w:eastAsia="es-MX"/>
              </w:rPr>
              <w:t>Poner los datos de ubicación en relación a la iniciativa</w:t>
            </w:r>
          </w:p>
        </w:tc>
        <w:tc>
          <w:tcPr>
            <w:tcW w:w="1238"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37001D0B" w14:textId="77777777" w:rsidR="009102BF" w:rsidRDefault="009102BF" w:rsidP="00424EC9">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Artículo</w:t>
            </w:r>
          </w:p>
        </w:tc>
        <w:tc>
          <w:tcPr>
            <w:tcW w:w="1021"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center"/>
            <w:hideMark/>
          </w:tcPr>
          <w:p w14:paraId="1A670FBB" w14:textId="77777777" w:rsidR="009102BF" w:rsidRDefault="006F64A9" w:rsidP="00424EC9">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19</w:t>
            </w:r>
          </w:p>
        </w:tc>
        <w:tc>
          <w:tcPr>
            <w:tcW w:w="2680" w:type="dxa"/>
            <w:tcBorders>
              <w:top w:val="single" w:sz="4" w:space="0" w:color="auto"/>
              <w:left w:val="single" w:sz="4" w:space="0" w:color="auto"/>
              <w:bottom w:val="single" w:sz="4" w:space="0" w:color="auto"/>
              <w:right w:val="single" w:sz="4" w:space="0" w:color="auto"/>
            </w:tcBorders>
            <w:shd w:val="clear" w:color="auto" w:fill="9CC2E5" w:themeFill="accent1" w:themeFillTint="99"/>
            <w:vAlign w:val="bottom"/>
            <w:hideMark/>
          </w:tcPr>
          <w:p w14:paraId="7ED33F83" w14:textId="77777777" w:rsidR="009102BF" w:rsidRDefault="009102BF" w:rsidP="00424EC9">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Concepto de cobro</w:t>
            </w:r>
          </w:p>
        </w:tc>
      </w:tr>
      <w:tr w:rsidR="009102BF" w14:paraId="4570F110" w14:textId="77777777" w:rsidTr="009102BF">
        <w:trPr>
          <w:trHeight w:val="420"/>
          <w:tblHeader/>
        </w:trPr>
        <w:tc>
          <w:tcPr>
            <w:tcW w:w="2943" w:type="dxa"/>
            <w:vMerge w:val="restart"/>
            <w:tcBorders>
              <w:top w:val="single" w:sz="4" w:space="0" w:color="auto"/>
              <w:left w:val="single" w:sz="4" w:space="0" w:color="auto"/>
              <w:bottom w:val="single" w:sz="4" w:space="0" w:color="auto"/>
              <w:right w:val="single" w:sz="4" w:space="0" w:color="auto"/>
            </w:tcBorders>
            <w:vAlign w:val="center"/>
            <w:hideMark/>
          </w:tcPr>
          <w:p w14:paraId="58E66A82" w14:textId="77777777" w:rsidR="009102BF" w:rsidRDefault="009102BF" w:rsidP="00424EC9">
            <w:pPr>
              <w:spacing w:line="240" w:lineRule="auto"/>
              <w:jc w:val="center"/>
              <w:rPr>
                <w:rFonts w:ascii="Arial" w:eastAsia="Times New Roman" w:hAnsi="Arial" w:cs="Arial"/>
                <w:color w:val="000000"/>
                <w:sz w:val="16"/>
                <w:szCs w:val="16"/>
                <w:lang w:eastAsia="es-MX"/>
              </w:rPr>
            </w:pPr>
            <w:r>
              <w:rPr>
                <w:rFonts w:ascii="Arial" w:eastAsia="Times New Roman" w:hAnsi="Arial" w:cs="Arial"/>
                <w:color w:val="000000"/>
                <w:sz w:val="16"/>
                <w:szCs w:val="16"/>
                <w:lang w:eastAsia="es-MX"/>
              </w:rPr>
              <w:t>Guanajuato, Guanajuato</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E53B" w14:textId="77777777" w:rsidR="009102BF" w:rsidRDefault="009102BF" w:rsidP="00424EC9">
            <w:pPr>
              <w:spacing w:line="240" w:lineRule="auto"/>
              <w:rPr>
                <w:rFonts w:ascii="Arial" w:eastAsia="Times New Roman" w:hAnsi="Arial" w:cs="Arial"/>
                <w:color w:val="000000"/>
                <w:sz w:val="20"/>
                <w:szCs w:val="20"/>
                <w:lang w:eastAsia="es-MX"/>
              </w:rPr>
            </w:pP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3B6C068" w14:textId="77777777" w:rsidR="009102BF" w:rsidRDefault="009102BF" w:rsidP="00424EC9">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Fracción</w:t>
            </w:r>
          </w:p>
        </w:tc>
        <w:tc>
          <w:tcPr>
            <w:tcW w:w="1021" w:type="dxa"/>
            <w:tcBorders>
              <w:top w:val="single" w:sz="4" w:space="0" w:color="auto"/>
              <w:left w:val="single" w:sz="4" w:space="0" w:color="auto"/>
              <w:bottom w:val="single" w:sz="4" w:space="0" w:color="auto"/>
              <w:right w:val="single" w:sz="4" w:space="0" w:color="auto"/>
            </w:tcBorders>
            <w:vAlign w:val="center"/>
            <w:hideMark/>
          </w:tcPr>
          <w:p w14:paraId="5500238E" w14:textId="0229D28B" w:rsidR="009102BF" w:rsidRDefault="00436953" w:rsidP="00424EC9">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V</w:t>
            </w:r>
            <w:r w:rsidR="001D7A01">
              <w:rPr>
                <w:rFonts w:ascii="Arial" w:eastAsia="Times New Roman" w:hAnsi="Arial" w:cs="Arial"/>
                <w:b/>
                <w:color w:val="0070C0"/>
                <w:sz w:val="16"/>
                <w:szCs w:val="16"/>
                <w:lang w:eastAsia="es-MX"/>
              </w:rPr>
              <w:t>I</w:t>
            </w:r>
            <w:r w:rsidR="008C14CE">
              <w:rPr>
                <w:rFonts w:ascii="Arial" w:eastAsia="Times New Roman" w:hAnsi="Arial" w:cs="Arial"/>
                <w:b/>
                <w:color w:val="0070C0"/>
                <w:sz w:val="16"/>
                <w:szCs w:val="16"/>
                <w:lang w:eastAsia="es-MX"/>
              </w:rPr>
              <w:t>I</w:t>
            </w:r>
            <w:r w:rsidR="00F37F28">
              <w:rPr>
                <w:rFonts w:ascii="Arial" w:eastAsia="Times New Roman" w:hAnsi="Arial" w:cs="Arial"/>
                <w:b/>
                <w:color w:val="0070C0"/>
                <w:sz w:val="16"/>
                <w:szCs w:val="16"/>
                <w:lang w:eastAsia="es-MX"/>
              </w:rPr>
              <w:t>I</w:t>
            </w:r>
          </w:p>
        </w:tc>
        <w:tc>
          <w:tcPr>
            <w:tcW w:w="2680" w:type="dxa"/>
            <w:vMerge w:val="restart"/>
            <w:tcBorders>
              <w:top w:val="single" w:sz="4" w:space="0" w:color="auto"/>
              <w:left w:val="single" w:sz="4" w:space="0" w:color="auto"/>
              <w:bottom w:val="single" w:sz="4" w:space="0" w:color="auto"/>
              <w:right w:val="single" w:sz="4" w:space="0" w:color="auto"/>
            </w:tcBorders>
            <w:vAlign w:val="center"/>
            <w:hideMark/>
          </w:tcPr>
          <w:p w14:paraId="0160ED42" w14:textId="77777777" w:rsidR="009102BF" w:rsidRDefault="004F2D88" w:rsidP="00424EC9">
            <w:pPr>
              <w:spacing w:line="240" w:lineRule="auto"/>
              <w:jc w:val="center"/>
              <w:rPr>
                <w:rFonts w:ascii="Arial" w:eastAsia="Times New Roman" w:hAnsi="Arial" w:cs="Arial"/>
                <w:sz w:val="20"/>
                <w:szCs w:val="20"/>
                <w:lang w:eastAsia="es-MX"/>
              </w:rPr>
            </w:pPr>
            <w:r>
              <w:rPr>
                <w:rFonts w:ascii="Arial" w:eastAsia="Times New Roman" w:hAnsi="Arial" w:cs="Arial"/>
                <w:color w:val="000000"/>
                <w:sz w:val="20"/>
                <w:szCs w:val="20"/>
                <w:lang w:eastAsia="es-MX"/>
              </w:rPr>
              <w:t xml:space="preserve">Derechos </w:t>
            </w:r>
            <w:r w:rsidRPr="004F2D88">
              <w:rPr>
                <w:rFonts w:ascii="Arial" w:eastAsia="Times New Roman" w:hAnsi="Arial" w:cs="Arial"/>
                <w:sz w:val="20"/>
                <w:szCs w:val="20"/>
                <w:lang w:eastAsia="es-MX"/>
              </w:rPr>
              <w:t>por servicios de transporte público urbano y suburbano en</w:t>
            </w:r>
            <w:r>
              <w:rPr>
                <w:rFonts w:ascii="Arial" w:eastAsia="Times New Roman" w:hAnsi="Arial" w:cs="Arial"/>
                <w:sz w:val="20"/>
                <w:szCs w:val="20"/>
                <w:lang w:eastAsia="es-MX"/>
              </w:rPr>
              <w:t xml:space="preserve"> r</w:t>
            </w:r>
            <w:r w:rsidRPr="004F2D88">
              <w:rPr>
                <w:rFonts w:ascii="Arial" w:eastAsia="Times New Roman" w:hAnsi="Arial" w:cs="Arial"/>
                <w:sz w:val="20"/>
                <w:szCs w:val="20"/>
                <w:lang w:eastAsia="es-MX"/>
              </w:rPr>
              <w:t>uta fija</w:t>
            </w:r>
          </w:p>
          <w:p w14:paraId="7E7ABB50" w14:textId="76EFC9B8" w:rsidR="00B4786B" w:rsidRDefault="00B4786B" w:rsidP="00AB558C">
            <w:pPr>
              <w:spacing w:line="240" w:lineRule="auto"/>
              <w:jc w:val="center"/>
              <w:rPr>
                <w:rFonts w:ascii="Arial" w:eastAsia="Times New Roman" w:hAnsi="Arial" w:cs="Arial"/>
                <w:color w:val="000000"/>
                <w:sz w:val="20"/>
                <w:szCs w:val="20"/>
                <w:lang w:eastAsia="es-MX"/>
              </w:rPr>
            </w:pPr>
            <w:r>
              <w:rPr>
                <w:rFonts w:ascii="Arial" w:eastAsia="Times New Roman" w:hAnsi="Arial" w:cs="Arial"/>
                <w:b/>
                <w:sz w:val="16"/>
                <w:szCs w:val="20"/>
                <w:lang w:eastAsia="es-MX"/>
              </w:rPr>
              <w:t>(</w:t>
            </w:r>
            <w:r w:rsidR="00F37F28">
              <w:rPr>
                <w:rFonts w:ascii="Arial" w:eastAsia="Times New Roman" w:hAnsi="Arial" w:cs="Arial"/>
                <w:b/>
                <w:sz w:val="16"/>
                <w:szCs w:val="20"/>
                <w:lang w:eastAsia="es-MX"/>
              </w:rPr>
              <w:t>Por Prorroga de Unidades</w:t>
            </w:r>
            <w:r>
              <w:rPr>
                <w:rFonts w:ascii="Arial" w:eastAsia="Times New Roman" w:hAnsi="Arial" w:cs="Arial"/>
                <w:b/>
                <w:sz w:val="16"/>
                <w:szCs w:val="20"/>
                <w:lang w:eastAsia="es-MX"/>
              </w:rPr>
              <w:t>)</w:t>
            </w:r>
          </w:p>
        </w:tc>
      </w:tr>
      <w:tr w:rsidR="009102BF" w14:paraId="3E45A716" w14:textId="77777777" w:rsidTr="009102BF">
        <w:trPr>
          <w:trHeight w:val="240"/>
          <w:tblHead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8DCC1B7" w14:textId="77777777" w:rsidR="009102BF" w:rsidRDefault="009102BF" w:rsidP="00424EC9">
            <w:pPr>
              <w:spacing w:line="240" w:lineRule="auto"/>
              <w:rPr>
                <w:rFonts w:ascii="Arial" w:eastAsia="Times New Roman" w:hAnsi="Arial" w:cs="Arial"/>
                <w:color w:val="000000"/>
                <w:sz w:val="16"/>
                <w:szCs w:val="16"/>
                <w:lang w:eastAsia="es-MX"/>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8004738" w14:textId="77777777" w:rsidR="009102BF" w:rsidRDefault="009102BF" w:rsidP="00424EC9">
            <w:pPr>
              <w:spacing w:line="240" w:lineRule="auto"/>
              <w:rPr>
                <w:rFonts w:ascii="Arial" w:eastAsia="Times New Roman" w:hAnsi="Arial" w:cs="Arial"/>
                <w:color w:val="000000"/>
                <w:sz w:val="20"/>
                <w:szCs w:val="20"/>
                <w:lang w:eastAsia="es-MX"/>
              </w:rPr>
            </w:pPr>
          </w:p>
        </w:tc>
        <w:tc>
          <w:tcPr>
            <w:tcW w:w="123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DB922F5" w14:textId="77777777" w:rsidR="009102BF" w:rsidRDefault="009102BF" w:rsidP="00424EC9">
            <w:pPr>
              <w:spacing w:line="240" w:lineRule="auto"/>
              <w:jc w:val="center"/>
              <w:rPr>
                <w:rFonts w:ascii="Arial" w:eastAsia="Times New Roman" w:hAnsi="Arial" w:cs="Arial"/>
                <w:color w:val="000000"/>
                <w:sz w:val="14"/>
                <w:szCs w:val="18"/>
                <w:lang w:eastAsia="es-MX"/>
              </w:rPr>
            </w:pPr>
            <w:r>
              <w:rPr>
                <w:rFonts w:ascii="Arial" w:eastAsia="Times New Roman" w:hAnsi="Arial" w:cs="Arial"/>
                <w:color w:val="000000"/>
                <w:sz w:val="14"/>
                <w:szCs w:val="18"/>
                <w:lang w:eastAsia="es-MX"/>
              </w:rPr>
              <w:t>Inciso</w:t>
            </w:r>
          </w:p>
        </w:tc>
        <w:tc>
          <w:tcPr>
            <w:tcW w:w="1021" w:type="dxa"/>
            <w:tcBorders>
              <w:top w:val="single" w:sz="4" w:space="0" w:color="auto"/>
              <w:left w:val="single" w:sz="4" w:space="0" w:color="auto"/>
              <w:bottom w:val="single" w:sz="4" w:space="0" w:color="auto"/>
              <w:right w:val="single" w:sz="4" w:space="0" w:color="auto"/>
            </w:tcBorders>
            <w:vAlign w:val="center"/>
          </w:tcPr>
          <w:p w14:paraId="727EF541" w14:textId="77777777" w:rsidR="009102BF" w:rsidRDefault="006F64A9" w:rsidP="00424EC9">
            <w:pPr>
              <w:spacing w:line="240" w:lineRule="auto"/>
              <w:jc w:val="center"/>
              <w:rPr>
                <w:rFonts w:ascii="Arial" w:eastAsia="Times New Roman" w:hAnsi="Arial" w:cs="Arial"/>
                <w:b/>
                <w:color w:val="0070C0"/>
                <w:sz w:val="16"/>
                <w:szCs w:val="16"/>
                <w:lang w:eastAsia="es-MX"/>
              </w:rPr>
            </w:pPr>
            <w:r>
              <w:rPr>
                <w:rFonts w:ascii="Arial" w:eastAsia="Times New Roman" w:hAnsi="Arial" w:cs="Arial"/>
                <w:b/>
                <w:color w:val="0070C0"/>
                <w:sz w:val="16"/>
                <w:szCs w:val="16"/>
                <w:lang w:eastAsia="es-MX"/>
              </w:rPr>
              <w:t>No aplica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93C051" w14:textId="77777777" w:rsidR="009102BF" w:rsidRDefault="009102BF" w:rsidP="00424EC9">
            <w:pPr>
              <w:spacing w:line="240" w:lineRule="auto"/>
              <w:rPr>
                <w:rFonts w:ascii="Arial" w:eastAsia="Times New Roman" w:hAnsi="Arial" w:cs="Arial"/>
                <w:color w:val="000000"/>
                <w:sz w:val="20"/>
                <w:szCs w:val="20"/>
                <w:lang w:eastAsia="es-MX"/>
              </w:rPr>
            </w:pPr>
          </w:p>
        </w:tc>
      </w:tr>
      <w:tr w:rsidR="009102BF" w14:paraId="4632DE1D" w14:textId="77777777" w:rsidTr="009102BF">
        <w:trPr>
          <w:trHeight w:val="2042"/>
        </w:trPr>
        <w:tc>
          <w:tcPr>
            <w:tcW w:w="2943" w:type="dxa"/>
            <w:tcBorders>
              <w:top w:val="single" w:sz="4" w:space="0" w:color="auto"/>
              <w:left w:val="single" w:sz="4" w:space="0" w:color="auto"/>
              <w:bottom w:val="single" w:sz="4" w:space="0" w:color="auto"/>
              <w:right w:val="single" w:sz="4" w:space="0" w:color="auto"/>
            </w:tcBorders>
          </w:tcPr>
          <w:p w14:paraId="1127D1A9" w14:textId="77777777" w:rsidR="009102BF" w:rsidRDefault="009102BF" w:rsidP="00424EC9">
            <w:pPr>
              <w:spacing w:line="240" w:lineRule="auto"/>
              <w:rPr>
                <w:rFonts w:ascii="Arial" w:hAnsi="Arial" w:cs="Arial"/>
              </w:rPr>
            </w:pPr>
            <w:r>
              <w:rPr>
                <w:rFonts w:ascii="Arial" w:hAnsi="Arial" w:cs="Arial"/>
              </w:rPr>
              <w:t>Situación actual del hecho generador:</w:t>
            </w:r>
          </w:p>
          <w:p w14:paraId="3FA2EBA1" w14:textId="77777777" w:rsidR="009102BF" w:rsidRDefault="009102BF" w:rsidP="00424EC9">
            <w:pPr>
              <w:spacing w:line="240" w:lineRule="auto"/>
              <w:rPr>
                <w:rFonts w:ascii="Arial" w:hAnsi="Arial" w:cs="Arial"/>
              </w:rPr>
            </w:pPr>
          </w:p>
          <w:p w14:paraId="683651E8" w14:textId="77777777" w:rsidR="009102BF" w:rsidRDefault="009102BF" w:rsidP="00424EC9">
            <w:pPr>
              <w:pStyle w:val="Prrafodelista"/>
              <w:spacing w:line="240" w:lineRule="auto"/>
              <w:ind w:left="34"/>
              <w:jc w:val="center"/>
              <w:rPr>
                <w:rFonts w:ascii="Arial" w:hAnsi="Arial" w:cs="Arial"/>
              </w:rPr>
            </w:pPr>
            <w:r>
              <w:rPr>
                <w:rFonts w:ascii="Arial" w:hAnsi="Arial" w:cs="Arial"/>
                <w:color w:val="222222"/>
                <w:shd w:val="clear" w:color="auto" w:fill="FFFFFF"/>
              </w:rPr>
              <w:t>*</w:t>
            </w:r>
            <w:r>
              <w:rPr>
                <w:rFonts w:ascii="Arial" w:hAnsi="Arial" w:cs="Arial"/>
              </w:rPr>
              <w:t>Es la circunstancia o condición que da nacimiento a la obligación tributaria.</w:t>
            </w:r>
          </w:p>
          <w:p w14:paraId="06F129FF" w14:textId="77777777" w:rsidR="009102BF" w:rsidRDefault="009102BF" w:rsidP="00424EC9">
            <w:pPr>
              <w:spacing w:line="240" w:lineRule="auto"/>
              <w:rPr>
                <w:rFonts w:ascii="Arial" w:hAnsi="Arial" w:cs="Arial"/>
              </w:rPr>
            </w:pPr>
          </w:p>
          <w:p w14:paraId="6CE4C0A6" w14:textId="77777777" w:rsidR="009102BF" w:rsidRDefault="009102BF" w:rsidP="00424EC9">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14:paraId="36F0BED2" w14:textId="77777777" w:rsidR="009102BF" w:rsidRDefault="008F5D3C" w:rsidP="00424EC9">
            <w:pPr>
              <w:tabs>
                <w:tab w:val="left" w:pos="1578"/>
              </w:tabs>
              <w:spacing w:line="240" w:lineRule="auto"/>
              <w:jc w:val="both"/>
              <w:rPr>
                <w:rFonts w:ascii="Arial" w:eastAsia="Times New Roman" w:hAnsi="Arial" w:cs="Arial"/>
                <w:sz w:val="20"/>
                <w:szCs w:val="20"/>
                <w:lang w:eastAsia="es-MX"/>
              </w:rPr>
            </w:pPr>
            <w:r>
              <w:rPr>
                <w:rFonts w:ascii="Arial" w:eastAsia="Times New Roman" w:hAnsi="Arial" w:cs="Arial"/>
                <w:sz w:val="20"/>
                <w:szCs w:val="20"/>
                <w:lang w:eastAsia="es-MX"/>
              </w:rPr>
              <w:t xml:space="preserve">Derivado del </w:t>
            </w:r>
            <w:r w:rsidR="00C31B79">
              <w:rPr>
                <w:rFonts w:ascii="Arial" w:eastAsia="Times New Roman" w:hAnsi="Arial" w:cs="Arial"/>
                <w:sz w:val="20"/>
                <w:szCs w:val="20"/>
                <w:lang w:eastAsia="es-MX"/>
              </w:rPr>
              <w:t>Artículo</w:t>
            </w:r>
            <w:r>
              <w:rPr>
                <w:rFonts w:ascii="Arial" w:eastAsia="Times New Roman" w:hAnsi="Arial" w:cs="Arial"/>
                <w:sz w:val="20"/>
                <w:szCs w:val="20"/>
                <w:lang w:eastAsia="es-MX"/>
              </w:rPr>
              <w:t xml:space="preserve"> de 2 de la Ley de Hacienda para los municipios del Estado de Guanajuato. Fracción I inciso A) Son contribuciones: los Impuestos, derechos y contribuciones especiales.</w:t>
            </w:r>
          </w:p>
          <w:p w14:paraId="4CD557E7" w14:textId="77777777" w:rsidR="00424EC9" w:rsidRDefault="00424EC9" w:rsidP="00424EC9">
            <w:pPr>
              <w:tabs>
                <w:tab w:val="left" w:pos="1578"/>
              </w:tabs>
              <w:spacing w:line="240" w:lineRule="auto"/>
              <w:jc w:val="both"/>
              <w:rPr>
                <w:rFonts w:ascii="Arial" w:eastAsia="Times New Roman" w:hAnsi="Arial" w:cs="Arial"/>
                <w:sz w:val="20"/>
                <w:szCs w:val="20"/>
                <w:lang w:eastAsia="es-MX"/>
              </w:rPr>
            </w:pPr>
          </w:p>
          <w:p w14:paraId="2F9A1C0D" w14:textId="332EB0C9" w:rsidR="009102BF" w:rsidRDefault="00C31B79" w:rsidP="00912B87">
            <w:pPr>
              <w:tabs>
                <w:tab w:val="left" w:pos="1578"/>
              </w:tabs>
              <w:spacing w:line="240" w:lineRule="auto"/>
              <w:jc w:val="both"/>
              <w:rPr>
                <w:rFonts w:ascii="Arial" w:eastAsia="Times New Roman" w:hAnsi="Arial" w:cs="Arial"/>
                <w:sz w:val="20"/>
                <w:szCs w:val="20"/>
                <w:lang w:eastAsia="es-MX"/>
              </w:rPr>
            </w:pPr>
            <w:r>
              <w:rPr>
                <w:rFonts w:ascii="Arial" w:eastAsia="Times New Roman" w:hAnsi="Arial" w:cs="Arial"/>
                <w:sz w:val="20"/>
                <w:szCs w:val="20"/>
                <w:lang w:eastAsia="es-MX"/>
              </w:rPr>
              <w:t>Y que en la Ley de Ingresos para el Municipio de Guanajuato, Guanajuato, para el ejercic</w:t>
            </w:r>
            <w:r w:rsidR="00EA3A58">
              <w:rPr>
                <w:rFonts w:ascii="Arial" w:eastAsia="Times New Roman" w:hAnsi="Arial" w:cs="Arial"/>
                <w:sz w:val="20"/>
                <w:szCs w:val="20"/>
                <w:lang w:eastAsia="es-MX"/>
              </w:rPr>
              <w:t>io fiscal del año 2019</w:t>
            </w:r>
            <w:r>
              <w:rPr>
                <w:rFonts w:ascii="Arial" w:eastAsia="Times New Roman" w:hAnsi="Arial" w:cs="Arial"/>
                <w:sz w:val="20"/>
                <w:szCs w:val="20"/>
                <w:lang w:eastAsia="es-MX"/>
              </w:rPr>
              <w:t xml:space="preserve">, se indica en el </w:t>
            </w:r>
            <w:r w:rsidRPr="004F2D88">
              <w:rPr>
                <w:rFonts w:ascii="Arial" w:eastAsia="Times New Roman" w:hAnsi="Arial" w:cs="Arial"/>
                <w:b/>
                <w:sz w:val="20"/>
                <w:szCs w:val="20"/>
                <w:lang w:eastAsia="es-MX"/>
              </w:rPr>
              <w:t xml:space="preserve">Artículo </w:t>
            </w:r>
            <w:r w:rsidR="006F64A9" w:rsidRPr="004F2D88">
              <w:rPr>
                <w:rFonts w:ascii="Arial" w:eastAsia="Times New Roman" w:hAnsi="Arial" w:cs="Arial"/>
                <w:b/>
                <w:sz w:val="20"/>
                <w:szCs w:val="20"/>
                <w:lang w:eastAsia="es-MX"/>
              </w:rPr>
              <w:t xml:space="preserve">19, fracción </w:t>
            </w:r>
            <w:r w:rsidR="00436953">
              <w:rPr>
                <w:rFonts w:ascii="Arial" w:eastAsia="Times New Roman" w:hAnsi="Arial" w:cs="Arial"/>
                <w:b/>
                <w:sz w:val="20"/>
                <w:szCs w:val="20"/>
                <w:lang w:eastAsia="es-MX"/>
              </w:rPr>
              <w:t>V</w:t>
            </w:r>
            <w:r w:rsidR="00912B87">
              <w:rPr>
                <w:rFonts w:ascii="Arial" w:eastAsia="Times New Roman" w:hAnsi="Arial" w:cs="Arial"/>
                <w:b/>
                <w:sz w:val="20"/>
                <w:szCs w:val="20"/>
                <w:lang w:eastAsia="es-MX"/>
              </w:rPr>
              <w:t>I</w:t>
            </w:r>
            <w:r w:rsidR="00FB04F6">
              <w:rPr>
                <w:rFonts w:ascii="Arial" w:eastAsia="Times New Roman" w:hAnsi="Arial" w:cs="Arial"/>
                <w:b/>
                <w:sz w:val="20"/>
                <w:szCs w:val="20"/>
                <w:lang w:eastAsia="es-MX"/>
              </w:rPr>
              <w:t>I</w:t>
            </w:r>
            <w:r w:rsidR="001D7A01">
              <w:rPr>
                <w:rFonts w:ascii="Arial" w:eastAsia="Times New Roman" w:hAnsi="Arial" w:cs="Arial"/>
                <w:b/>
                <w:sz w:val="20"/>
                <w:szCs w:val="20"/>
                <w:lang w:eastAsia="es-MX"/>
              </w:rPr>
              <w:t>I</w:t>
            </w:r>
            <w:r w:rsidR="006F64A9" w:rsidRPr="004F2D88">
              <w:rPr>
                <w:rFonts w:ascii="Arial" w:eastAsia="Times New Roman" w:hAnsi="Arial" w:cs="Arial"/>
                <w:b/>
                <w:sz w:val="20"/>
                <w:szCs w:val="20"/>
                <w:lang w:eastAsia="es-MX"/>
              </w:rPr>
              <w:t>.</w:t>
            </w:r>
            <w:r w:rsidRPr="004F2D88">
              <w:rPr>
                <w:rFonts w:ascii="Arial" w:eastAsia="Times New Roman" w:hAnsi="Arial" w:cs="Arial"/>
                <w:b/>
                <w:sz w:val="20"/>
                <w:szCs w:val="20"/>
                <w:lang w:eastAsia="es-MX"/>
              </w:rPr>
              <w:t>-</w:t>
            </w:r>
            <w:r w:rsidRPr="00AB558C">
              <w:rPr>
                <w:rFonts w:ascii="Arial" w:eastAsia="Times New Roman" w:hAnsi="Arial" w:cs="Arial"/>
                <w:b/>
                <w:sz w:val="20"/>
                <w:szCs w:val="20"/>
                <w:lang w:eastAsia="es-MX"/>
              </w:rPr>
              <w:t xml:space="preserve"> </w:t>
            </w:r>
            <w:r w:rsidR="00912B87" w:rsidRPr="00912B87">
              <w:rPr>
                <w:rFonts w:ascii="Arial" w:eastAsia="Times New Roman" w:hAnsi="Arial" w:cs="Arial"/>
                <w:b/>
                <w:sz w:val="20"/>
                <w:szCs w:val="20"/>
                <w:lang w:eastAsia="es-MX"/>
              </w:rPr>
              <w:t>Autorización por prórroga para uso de unidades en</w:t>
            </w:r>
            <w:r w:rsidR="00912B87">
              <w:rPr>
                <w:rFonts w:ascii="Arial" w:eastAsia="Times New Roman" w:hAnsi="Arial" w:cs="Arial"/>
                <w:b/>
                <w:sz w:val="20"/>
                <w:szCs w:val="20"/>
                <w:lang w:eastAsia="es-MX"/>
              </w:rPr>
              <w:t xml:space="preserve"> </w:t>
            </w:r>
            <w:r w:rsidR="00912B87" w:rsidRPr="00912B87">
              <w:rPr>
                <w:rFonts w:ascii="Arial" w:eastAsia="Times New Roman" w:hAnsi="Arial" w:cs="Arial"/>
                <w:b/>
                <w:sz w:val="20"/>
                <w:szCs w:val="20"/>
                <w:lang w:eastAsia="es-MX"/>
              </w:rPr>
              <w:t>buen estado, por un año</w:t>
            </w:r>
            <w:r w:rsidR="001D7A01">
              <w:rPr>
                <w:rFonts w:ascii="Arial" w:eastAsia="Times New Roman" w:hAnsi="Arial" w:cs="Arial"/>
                <w:b/>
                <w:sz w:val="20"/>
                <w:szCs w:val="20"/>
                <w:lang w:eastAsia="es-MX"/>
              </w:rPr>
              <w:t>.</w:t>
            </w:r>
          </w:p>
        </w:tc>
      </w:tr>
      <w:tr w:rsidR="009102BF" w14:paraId="19D1FED7" w14:textId="77777777" w:rsidTr="009102BF">
        <w:tc>
          <w:tcPr>
            <w:tcW w:w="2943" w:type="dxa"/>
            <w:tcBorders>
              <w:top w:val="single" w:sz="4" w:space="0" w:color="auto"/>
              <w:left w:val="single" w:sz="4" w:space="0" w:color="auto"/>
              <w:bottom w:val="single" w:sz="4" w:space="0" w:color="auto"/>
              <w:right w:val="single" w:sz="4" w:space="0" w:color="auto"/>
            </w:tcBorders>
          </w:tcPr>
          <w:p w14:paraId="287FCBA3" w14:textId="77777777" w:rsidR="009102BF" w:rsidRDefault="009102BF" w:rsidP="00424EC9">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14:paraId="49B40288" w14:textId="77777777" w:rsidR="009102BF" w:rsidRDefault="009102BF" w:rsidP="00424EC9">
            <w:pPr>
              <w:spacing w:line="240" w:lineRule="auto"/>
              <w:jc w:val="both"/>
              <w:rPr>
                <w:rFonts w:ascii="Arial" w:eastAsia="Times New Roman" w:hAnsi="Arial" w:cs="Arial"/>
                <w:color w:val="000000"/>
                <w:sz w:val="20"/>
                <w:szCs w:val="20"/>
                <w:lang w:eastAsia="es-MX"/>
              </w:rPr>
            </w:pPr>
          </w:p>
        </w:tc>
      </w:tr>
      <w:tr w:rsidR="009102BF" w14:paraId="75F39057" w14:textId="77777777" w:rsidTr="009102BF">
        <w:tc>
          <w:tcPr>
            <w:tcW w:w="9054" w:type="dxa"/>
            <w:gridSpan w:val="5"/>
            <w:tcBorders>
              <w:top w:val="single" w:sz="4" w:space="0" w:color="auto"/>
              <w:left w:val="single" w:sz="4" w:space="0" w:color="auto"/>
              <w:bottom w:val="single" w:sz="4" w:space="0" w:color="auto"/>
              <w:right w:val="single" w:sz="4" w:space="0" w:color="auto"/>
            </w:tcBorders>
            <w:hideMark/>
          </w:tcPr>
          <w:p w14:paraId="282A3302" w14:textId="77777777" w:rsidR="009102BF" w:rsidRDefault="009102BF" w:rsidP="00424EC9">
            <w:pPr>
              <w:spacing w:line="240" w:lineRule="auto"/>
              <w:jc w:val="center"/>
              <w:rPr>
                <w:rFonts w:ascii="Arial" w:hAnsi="Arial" w:cs="Arial"/>
              </w:rPr>
            </w:pPr>
            <w:r>
              <w:rPr>
                <w:rFonts w:ascii="Arial" w:hAnsi="Arial" w:cs="Arial"/>
                <w:b/>
              </w:rPr>
              <w:t>Nuevo incremento sobre la contribución:</w:t>
            </w:r>
          </w:p>
        </w:tc>
      </w:tr>
      <w:tr w:rsidR="009102BF" w14:paraId="1C3B327F" w14:textId="77777777" w:rsidTr="009102BF">
        <w:tc>
          <w:tcPr>
            <w:tcW w:w="2943" w:type="dxa"/>
            <w:tcBorders>
              <w:top w:val="single" w:sz="4" w:space="0" w:color="auto"/>
              <w:left w:val="single" w:sz="4" w:space="0" w:color="auto"/>
              <w:bottom w:val="single" w:sz="4" w:space="0" w:color="auto"/>
              <w:right w:val="single" w:sz="4" w:space="0" w:color="auto"/>
            </w:tcBorders>
          </w:tcPr>
          <w:p w14:paraId="1BF557CA" w14:textId="77777777" w:rsidR="009102BF" w:rsidRPr="00424EC9" w:rsidRDefault="009102BF" w:rsidP="00424EC9">
            <w:pPr>
              <w:spacing w:line="240" w:lineRule="auto"/>
              <w:rPr>
                <w:rFonts w:ascii="Arial" w:hAnsi="Arial" w:cs="Arial"/>
                <w:b/>
                <w:sz w:val="20"/>
                <w:szCs w:val="20"/>
              </w:rPr>
            </w:pPr>
            <w:r w:rsidRPr="00424EC9">
              <w:rPr>
                <w:rFonts w:ascii="Arial" w:hAnsi="Arial" w:cs="Arial"/>
                <w:b/>
                <w:sz w:val="20"/>
                <w:szCs w:val="20"/>
              </w:rPr>
              <w:t>Tasa o tarifa actual:</w:t>
            </w:r>
          </w:p>
          <w:p w14:paraId="2E358F5D" w14:textId="77777777" w:rsidR="009102BF" w:rsidRPr="00424EC9" w:rsidRDefault="009102BF" w:rsidP="00424EC9">
            <w:pPr>
              <w:spacing w:line="240" w:lineRule="auto"/>
              <w:rPr>
                <w:rFonts w:ascii="Arial" w:eastAsia="Times New Roman" w:hAnsi="Arial" w:cs="Arial"/>
                <w:color w:val="000000"/>
                <w:sz w:val="20"/>
                <w:szCs w:val="20"/>
                <w:lang w:eastAsia="es-MX"/>
              </w:rPr>
            </w:pPr>
            <w:r w:rsidRPr="00424EC9">
              <w:rPr>
                <w:rFonts w:ascii="Arial" w:eastAsia="Times New Roman" w:hAnsi="Arial" w:cs="Arial"/>
                <w:color w:val="000000"/>
                <w:sz w:val="20"/>
                <w:szCs w:val="20"/>
                <w:lang w:eastAsia="es-MX"/>
              </w:rPr>
              <w:t> Las contenidas en la Ley vigente</w:t>
            </w:r>
          </w:p>
          <w:p w14:paraId="57C9B85A" w14:textId="19974EE1" w:rsidR="00F261AA" w:rsidRPr="00ED0E9A" w:rsidRDefault="00ED0E9A" w:rsidP="00884F45">
            <w:pPr>
              <w:spacing w:line="240" w:lineRule="auto"/>
              <w:rPr>
                <w:rFonts w:ascii="Arial" w:hAnsi="Arial" w:cs="Arial"/>
                <w:i/>
                <w:sz w:val="18"/>
                <w:szCs w:val="20"/>
              </w:rPr>
            </w:pPr>
            <w:r w:rsidRPr="00ED0E9A">
              <w:rPr>
                <w:rFonts w:ascii="Arial" w:eastAsia="Times New Roman" w:hAnsi="Arial" w:cs="Arial"/>
                <w:sz w:val="20"/>
                <w:szCs w:val="20"/>
                <w:lang w:eastAsia="es-MX"/>
              </w:rPr>
              <w:t xml:space="preserve">VIII. Autorización por prórroga para uso de unidades en buen estado, por un año. </w:t>
            </w:r>
            <w:r w:rsidR="00912B87" w:rsidRPr="00ED0E9A">
              <w:rPr>
                <w:rFonts w:ascii="Arial" w:hAnsi="Arial" w:cs="Arial"/>
                <w:sz w:val="20"/>
                <w:szCs w:val="20"/>
              </w:rPr>
              <w:t xml:space="preserve">$987.71 </w:t>
            </w:r>
          </w:p>
          <w:p w14:paraId="70B23F2A" w14:textId="77777777" w:rsidR="000D4A7B" w:rsidRPr="00424EC9" w:rsidRDefault="000D4A7B" w:rsidP="000D4A7B">
            <w:pPr>
              <w:spacing w:line="240" w:lineRule="auto"/>
              <w:rPr>
                <w:rFonts w:ascii="Arial" w:hAnsi="Arial" w:cs="Arial"/>
                <w:sz w:val="20"/>
                <w:szCs w:val="20"/>
              </w:rPr>
            </w:pPr>
          </w:p>
        </w:tc>
        <w:tc>
          <w:tcPr>
            <w:tcW w:w="6111" w:type="dxa"/>
            <w:gridSpan w:val="4"/>
            <w:tcBorders>
              <w:top w:val="single" w:sz="4" w:space="0" w:color="auto"/>
              <w:left w:val="single" w:sz="4" w:space="0" w:color="auto"/>
              <w:bottom w:val="single" w:sz="4" w:space="0" w:color="auto"/>
              <w:right w:val="single" w:sz="4" w:space="0" w:color="auto"/>
            </w:tcBorders>
          </w:tcPr>
          <w:p w14:paraId="012E32BC" w14:textId="77777777" w:rsidR="009102BF" w:rsidRDefault="009102BF" w:rsidP="00424EC9">
            <w:pPr>
              <w:spacing w:line="240" w:lineRule="auto"/>
              <w:rPr>
                <w:rFonts w:ascii="Arial" w:hAnsi="Arial" w:cs="Arial"/>
                <w:b/>
              </w:rPr>
            </w:pPr>
            <w:r>
              <w:rPr>
                <w:rFonts w:ascii="Arial" w:hAnsi="Arial" w:cs="Arial"/>
                <w:b/>
              </w:rPr>
              <w:t>Tasa o tarifa propuesta:</w:t>
            </w:r>
          </w:p>
          <w:tbl>
            <w:tblPr>
              <w:tblW w:w="5000" w:type="pct"/>
              <w:tblCellMar>
                <w:left w:w="70" w:type="dxa"/>
                <w:right w:w="70" w:type="dxa"/>
              </w:tblCellMar>
              <w:tblLook w:val="04A0" w:firstRow="1" w:lastRow="0" w:firstColumn="1" w:lastColumn="0" w:noHBand="0" w:noVBand="1"/>
            </w:tblPr>
            <w:tblGrid>
              <w:gridCol w:w="4751"/>
              <w:gridCol w:w="1144"/>
            </w:tblGrid>
            <w:tr w:rsidR="009102BF" w14:paraId="7FA03AEC" w14:textId="77777777" w:rsidTr="00EA3A58">
              <w:trPr>
                <w:trHeight w:val="300"/>
              </w:trPr>
              <w:tc>
                <w:tcPr>
                  <w:tcW w:w="4030" w:type="pct"/>
                  <w:vAlign w:val="center"/>
                  <w:hideMark/>
                </w:tcPr>
                <w:p w14:paraId="645D0F2A" w14:textId="2B9DCB10" w:rsidR="00B07B15" w:rsidRPr="00644501" w:rsidRDefault="00ED0E9A" w:rsidP="00EA3A58">
                  <w:pPr>
                    <w:spacing w:after="0" w:line="240" w:lineRule="auto"/>
                    <w:jc w:val="both"/>
                    <w:rPr>
                      <w:rFonts w:ascii="Arial" w:eastAsia="Times New Roman" w:hAnsi="Arial" w:cs="Arial"/>
                      <w:color w:val="000000"/>
                      <w:sz w:val="20"/>
                      <w:szCs w:val="24"/>
                      <w:lang w:eastAsia="es-MX"/>
                    </w:rPr>
                  </w:pPr>
                  <w:r w:rsidRPr="00ED0E9A">
                    <w:rPr>
                      <w:rFonts w:ascii="Arial" w:eastAsia="Times New Roman" w:hAnsi="Arial" w:cs="Arial"/>
                      <w:sz w:val="20"/>
                      <w:szCs w:val="20"/>
                      <w:lang w:eastAsia="es-MX"/>
                    </w:rPr>
                    <w:t>VIII. Autorización por prórroga para uso de unidades en buen estado, por un año.</w:t>
                  </w:r>
                  <w:r w:rsidR="00766A1F">
                    <w:rPr>
                      <w:rFonts w:ascii="Arial" w:eastAsia="Times New Roman" w:hAnsi="Arial" w:cs="Arial"/>
                      <w:sz w:val="20"/>
                      <w:szCs w:val="20"/>
                      <w:lang w:eastAsia="es-MX"/>
                    </w:rPr>
                    <w:t xml:space="preserve"> $5,0</w:t>
                  </w:r>
                  <w:r>
                    <w:rPr>
                      <w:rFonts w:ascii="Arial" w:eastAsia="Times New Roman" w:hAnsi="Arial" w:cs="Arial"/>
                      <w:sz w:val="20"/>
                      <w:szCs w:val="20"/>
                      <w:lang w:eastAsia="es-MX"/>
                    </w:rPr>
                    <w:t>00.00</w:t>
                  </w:r>
                </w:p>
              </w:tc>
              <w:tc>
                <w:tcPr>
                  <w:tcW w:w="970" w:type="pct"/>
                  <w:noWrap/>
                  <w:vAlign w:val="bottom"/>
                </w:tcPr>
                <w:p w14:paraId="611BB94A" w14:textId="77777777" w:rsidR="009102BF" w:rsidRDefault="009102BF" w:rsidP="00424EC9">
                  <w:pPr>
                    <w:spacing w:after="0" w:line="240" w:lineRule="auto"/>
                    <w:rPr>
                      <w:rFonts w:ascii="Arial" w:eastAsia="Times New Roman" w:hAnsi="Arial" w:cs="Arial"/>
                      <w:color w:val="000000"/>
                      <w:sz w:val="16"/>
                      <w:szCs w:val="20"/>
                      <w:lang w:eastAsia="es-MX"/>
                    </w:rPr>
                  </w:pPr>
                </w:p>
              </w:tc>
            </w:tr>
            <w:tr w:rsidR="009102BF" w14:paraId="5AA10977" w14:textId="77777777" w:rsidTr="00644501">
              <w:trPr>
                <w:trHeight w:val="100"/>
              </w:trPr>
              <w:tc>
                <w:tcPr>
                  <w:tcW w:w="4030" w:type="pct"/>
                  <w:vAlign w:val="bottom"/>
                </w:tcPr>
                <w:p w14:paraId="41017748" w14:textId="77777777" w:rsidR="009102BF" w:rsidRPr="00EA3E6C" w:rsidRDefault="009102BF" w:rsidP="00424EC9">
                  <w:pPr>
                    <w:spacing w:after="0" w:line="240" w:lineRule="auto"/>
                    <w:rPr>
                      <w:rFonts w:ascii="Arial" w:eastAsia="Times New Roman" w:hAnsi="Arial" w:cs="Arial"/>
                      <w:color w:val="000000"/>
                      <w:sz w:val="2"/>
                      <w:szCs w:val="4"/>
                      <w:lang w:eastAsia="es-MX"/>
                    </w:rPr>
                  </w:pPr>
                </w:p>
              </w:tc>
              <w:tc>
                <w:tcPr>
                  <w:tcW w:w="970" w:type="pct"/>
                  <w:noWrap/>
                  <w:vAlign w:val="bottom"/>
                </w:tcPr>
                <w:p w14:paraId="7049CF42" w14:textId="77777777" w:rsidR="009102BF" w:rsidRDefault="009102BF" w:rsidP="00424EC9">
                  <w:pPr>
                    <w:spacing w:after="0" w:line="240" w:lineRule="auto"/>
                    <w:jc w:val="right"/>
                    <w:rPr>
                      <w:rFonts w:ascii="Arial" w:eastAsia="Times New Roman" w:hAnsi="Arial" w:cs="Arial"/>
                      <w:color w:val="000000"/>
                      <w:sz w:val="16"/>
                      <w:szCs w:val="20"/>
                      <w:lang w:eastAsia="es-MX"/>
                    </w:rPr>
                  </w:pPr>
                </w:p>
              </w:tc>
            </w:tr>
            <w:tr w:rsidR="009102BF" w14:paraId="5CCB4A8A" w14:textId="77777777" w:rsidTr="00C31B79">
              <w:trPr>
                <w:trHeight w:val="300"/>
              </w:trPr>
              <w:tc>
                <w:tcPr>
                  <w:tcW w:w="4030" w:type="pct"/>
                  <w:vAlign w:val="bottom"/>
                </w:tcPr>
                <w:p w14:paraId="6EF5090C" w14:textId="77777777" w:rsidR="009102BF" w:rsidRPr="00EA3E6C" w:rsidRDefault="009102BF" w:rsidP="00424EC9">
                  <w:pPr>
                    <w:spacing w:after="0" w:line="240" w:lineRule="auto"/>
                    <w:rPr>
                      <w:rFonts w:ascii="Arial" w:eastAsia="Times New Roman" w:hAnsi="Arial" w:cs="Arial"/>
                      <w:color w:val="000000"/>
                      <w:sz w:val="2"/>
                      <w:szCs w:val="4"/>
                      <w:lang w:eastAsia="es-MX"/>
                    </w:rPr>
                  </w:pPr>
                </w:p>
              </w:tc>
              <w:tc>
                <w:tcPr>
                  <w:tcW w:w="970" w:type="pct"/>
                  <w:noWrap/>
                  <w:vAlign w:val="bottom"/>
                </w:tcPr>
                <w:p w14:paraId="49690400" w14:textId="77777777" w:rsidR="009102BF" w:rsidRDefault="009102BF" w:rsidP="00424EC9">
                  <w:pPr>
                    <w:spacing w:after="0" w:line="240" w:lineRule="auto"/>
                    <w:jc w:val="right"/>
                    <w:rPr>
                      <w:rFonts w:ascii="Arial" w:eastAsia="Times New Roman" w:hAnsi="Arial" w:cs="Arial"/>
                      <w:color w:val="000000"/>
                      <w:sz w:val="16"/>
                      <w:szCs w:val="20"/>
                      <w:lang w:eastAsia="es-MX"/>
                    </w:rPr>
                  </w:pPr>
                </w:p>
              </w:tc>
            </w:tr>
          </w:tbl>
          <w:p w14:paraId="7DF78877" w14:textId="77777777" w:rsidR="009102BF" w:rsidRDefault="009102BF" w:rsidP="00424EC9">
            <w:pPr>
              <w:spacing w:line="240" w:lineRule="auto"/>
              <w:rPr>
                <w:rFonts w:ascii="Arial" w:hAnsi="Arial" w:cs="Arial"/>
              </w:rPr>
            </w:pPr>
          </w:p>
        </w:tc>
      </w:tr>
      <w:tr w:rsidR="009102BF" w14:paraId="04C1E472" w14:textId="77777777" w:rsidTr="009102BF">
        <w:tc>
          <w:tcPr>
            <w:tcW w:w="2943" w:type="dxa"/>
            <w:tcBorders>
              <w:top w:val="single" w:sz="4" w:space="0" w:color="auto"/>
              <w:left w:val="single" w:sz="4" w:space="0" w:color="auto"/>
              <w:bottom w:val="single" w:sz="4" w:space="0" w:color="auto"/>
              <w:right w:val="single" w:sz="4" w:space="0" w:color="auto"/>
            </w:tcBorders>
          </w:tcPr>
          <w:p w14:paraId="260CEFF4" w14:textId="77777777" w:rsidR="009102BF" w:rsidRDefault="009102BF" w:rsidP="00424EC9">
            <w:pPr>
              <w:spacing w:line="240" w:lineRule="auto"/>
              <w:rPr>
                <w:rFonts w:ascii="Arial" w:hAnsi="Arial" w:cs="Arial"/>
              </w:rPr>
            </w:pPr>
            <w:r>
              <w:rPr>
                <w:rFonts w:ascii="Arial" w:hAnsi="Arial" w:cs="Arial"/>
              </w:rPr>
              <w:t>Indicar si es:</w:t>
            </w:r>
          </w:p>
          <w:p w14:paraId="595E37DC" w14:textId="77777777" w:rsidR="009102BF" w:rsidRDefault="009102BF" w:rsidP="00424EC9">
            <w:pPr>
              <w:spacing w:line="240" w:lineRule="auto"/>
              <w:rPr>
                <w:rFonts w:ascii="Arial" w:hAnsi="Arial" w:cs="Arial"/>
                <w:b/>
              </w:rPr>
            </w:pPr>
          </w:p>
        </w:tc>
        <w:tc>
          <w:tcPr>
            <w:tcW w:w="6111" w:type="dxa"/>
            <w:gridSpan w:val="4"/>
            <w:tcBorders>
              <w:top w:val="single" w:sz="4" w:space="0" w:color="auto"/>
              <w:left w:val="single" w:sz="4" w:space="0" w:color="auto"/>
              <w:bottom w:val="single" w:sz="4" w:space="0" w:color="auto"/>
              <w:right w:val="single" w:sz="4" w:space="0" w:color="auto"/>
            </w:tcBorders>
          </w:tcPr>
          <w:p w14:paraId="0E91D30F" w14:textId="77777777" w:rsidR="009102BF" w:rsidRPr="00007643" w:rsidRDefault="009102BF" w:rsidP="00424EC9">
            <w:pPr>
              <w:spacing w:line="240" w:lineRule="auto"/>
              <w:rPr>
                <w:rFonts w:ascii="Arial" w:hAnsi="Arial" w:cs="Arial"/>
                <w:b/>
                <w:bCs/>
              </w:rPr>
            </w:pPr>
            <w:r>
              <w:rPr>
                <w:rFonts w:ascii="Arial" w:hAnsi="Arial" w:cs="Arial"/>
              </w:rPr>
              <w:t>Impuesto:</w:t>
            </w:r>
            <w:r w:rsidR="00007643">
              <w:rPr>
                <w:rFonts w:ascii="Arial" w:hAnsi="Arial" w:cs="Arial"/>
              </w:rPr>
              <w:t xml:space="preserve">   </w:t>
            </w:r>
          </w:p>
          <w:p w14:paraId="0B5A9BA7" w14:textId="77777777" w:rsidR="00007643" w:rsidRDefault="009102BF" w:rsidP="00424EC9">
            <w:pPr>
              <w:spacing w:line="240" w:lineRule="auto"/>
              <w:rPr>
                <w:rFonts w:ascii="Arial" w:hAnsi="Arial" w:cs="Arial"/>
              </w:rPr>
            </w:pPr>
            <w:r>
              <w:rPr>
                <w:rFonts w:ascii="Arial" w:hAnsi="Arial" w:cs="Arial"/>
              </w:rPr>
              <w:t xml:space="preserve">Derecho:  </w:t>
            </w:r>
            <w:r w:rsidR="001941CC" w:rsidRPr="001941CC">
              <w:rPr>
                <w:rFonts w:ascii="Arial" w:hAnsi="Arial" w:cs="Arial"/>
                <w:b/>
              </w:rPr>
              <w:t>X</w:t>
            </w:r>
          </w:p>
          <w:p w14:paraId="2E1207CC" w14:textId="77777777" w:rsidR="009102BF" w:rsidRDefault="009102BF" w:rsidP="00424EC9">
            <w:pPr>
              <w:spacing w:line="240" w:lineRule="auto"/>
              <w:rPr>
                <w:rFonts w:ascii="Arial" w:hAnsi="Arial" w:cs="Arial"/>
              </w:rPr>
            </w:pPr>
            <w:r>
              <w:rPr>
                <w:rFonts w:ascii="Arial" w:hAnsi="Arial" w:cs="Arial"/>
              </w:rPr>
              <w:t>Otra:</w:t>
            </w:r>
          </w:p>
        </w:tc>
      </w:tr>
      <w:tr w:rsidR="009102BF" w14:paraId="5DCDADAC" w14:textId="77777777" w:rsidTr="009102BF">
        <w:tc>
          <w:tcPr>
            <w:tcW w:w="9054" w:type="dxa"/>
            <w:gridSpan w:val="5"/>
            <w:tcBorders>
              <w:top w:val="single" w:sz="4" w:space="0" w:color="auto"/>
              <w:left w:val="single" w:sz="4" w:space="0" w:color="auto"/>
              <w:bottom w:val="single" w:sz="4" w:space="0" w:color="auto"/>
              <w:right w:val="single" w:sz="4" w:space="0" w:color="auto"/>
            </w:tcBorders>
            <w:hideMark/>
          </w:tcPr>
          <w:p w14:paraId="1D6599E5" w14:textId="77777777" w:rsidR="009102BF" w:rsidRDefault="009102BF" w:rsidP="00424EC9">
            <w:pPr>
              <w:spacing w:line="240" w:lineRule="auto"/>
              <w:jc w:val="center"/>
              <w:rPr>
                <w:rFonts w:ascii="Arial" w:hAnsi="Arial" w:cs="Arial"/>
              </w:rPr>
            </w:pPr>
            <w:r>
              <w:rPr>
                <w:rFonts w:ascii="Arial" w:hAnsi="Arial" w:cs="Arial"/>
                <w:b/>
              </w:rPr>
              <w:t>Nueva contribución propuesta:</w:t>
            </w:r>
          </w:p>
        </w:tc>
      </w:tr>
      <w:tr w:rsidR="009102BF" w14:paraId="5A3D632F" w14:textId="77777777" w:rsidTr="009102BF">
        <w:tc>
          <w:tcPr>
            <w:tcW w:w="2943" w:type="dxa"/>
            <w:tcBorders>
              <w:top w:val="single" w:sz="4" w:space="0" w:color="auto"/>
              <w:left w:val="single" w:sz="4" w:space="0" w:color="auto"/>
              <w:bottom w:val="single" w:sz="4" w:space="0" w:color="auto"/>
              <w:right w:val="single" w:sz="4" w:space="0" w:color="auto"/>
            </w:tcBorders>
          </w:tcPr>
          <w:p w14:paraId="368C8444" w14:textId="77777777" w:rsidR="009102BF" w:rsidRDefault="009102BF" w:rsidP="00424EC9">
            <w:pPr>
              <w:spacing w:line="240" w:lineRule="auto"/>
              <w:rPr>
                <w:rFonts w:ascii="Arial" w:hAnsi="Arial" w:cs="Arial"/>
              </w:rPr>
            </w:pPr>
            <w:r>
              <w:rPr>
                <w:rFonts w:ascii="Arial" w:hAnsi="Arial" w:cs="Arial"/>
              </w:rPr>
              <w:t>Indicar si es:</w:t>
            </w:r>
          </w:p>
          <w:p w14:paraId="47BAE3F1" w14:textId="77777777" w:rsidR="009102BF" w:rsidRDefault="009102BF" w:rsidP="00424EC9">
            <w:pPr>
              <w:spacing w:line="240" w:lineRule="auto"/>
              <w:rPr>
                <w:rFonts w:ascii="Arial" w:hAnsi="Arial" w:cs="Arial"/>
                <w:b/>
              </w:rPr>
            </w:pPr>
          </w:p>
        </w:tc>
        <w:tc>
          <w:tcPr>
            <w:tcW w:w="6111" w:type="dxa"/>
            <w:gridSpan w:val="4"/>
            <w:tcBorders>
              <w:top w:val="single" w:sz="4" w:space="0" w:color="auto"/>
              <w:left w:val="single" w:sz="4" w:space="0" w:color="auto"/>
              <w:bottom w:val="single" w:sz="4" w:space="0" w:color="auto"/>
              <w:right w:val="single" w:sz="4" w:space="0" w:color="auto"/>
            </w:tcBorders>
          </w:tcPr>
          <w:p w14:paraId="67C77A14" w14:textId="77777777" w:rsidR="009102BF" w:rsidRPr="00007643" w:rsidRDefault="009102BF" w:rsidP="00424EC9">
            <w:pPr>
              <w:spacing w:line="240" w:lineRule="auto"/>
              <w:rPr>
                <w:rFonts w:ascii="Arial" w:hAnsi="Arial" w:cs="Arial"/>
                <w:b/>
                <w:bCs/>
              </w:rPr>
            </w:pPr>
            <w:r>
              <w:rPr>
                <w:rFonts w:ascii="Arial" w:hAnsi="Arial" w:cs="Arial"/>
              </w:rPr>
              <w:t>Impuesto:</w:t>
            </w:r>
            <w:r w:rsidR="00007643">
              <w:rPr>
                <w:rFonts w:ascii="Arial" w:hAnsi="Arial" w:cs="Arial"/>
              </w:rPr>
              <w:t xml:space="preserve">      </w:t>
            </w:r>
          </w:p>
          <w:p w14:paraId="6AA32FD3" w14:textId="77777777" w:rsidR="009102BF" w:rsidRDefault="009102BF" w:rsidP="00424EC9">
            <w:pPr>
              <w:spacing w:line="240" w:lineRule="auto"/>
              <w:rPr>
                <w:rFonts w:ascii="Arial" w:hAnsi="Arial" w:cs="Arial"/>
              </w:rPr>
            </w:pPr>
            <w:r>
              <w:rPr>
                <w:rFonts w:ascii="Arial" w:hAnsi="Arial" w:cs="Arial"/>
              </w:rPr>
              <w:t xml:space="preserve">Derecho: </w:t>
            </w:r>
            <w:r w:rsidR="00173C8C" w:rsidRPr="00173C8C">
              <w:rPr>
                <w:rFonts w:ascii="Arial" w:hAnsi="Arial" w:cs="Arial"/>
                <w:b/>
              </w:rPr>
              <w:t>X</w:t>
            </w:r>
          </w:p>
          <w:p w14:paraId="116E9456" w14:textId="77777777" w:rsidR="009102BF" w:rsidRDefault="009102BF" w:rsidP="00424EC9">
            <w:pPr>
              <w:spacing w:line="240" w:lineRule="auto"/>
              <w:rPr>
                <w:rFonts w:ascii="Arial" w:hAnsi="Arial" w:cs="Arial"/>
              </w:rPr>
            </w:pPr>
            <w:r>
              <w:rPr>
                <w:rFonts w:ascii="Arial" w:hAnsi="Arial" w:cs="Arial"/>
              </w:rPr>
              <w:t>Otra:</w:t>
            </w:r>
          </w:p>
        </w:tc>
      </w:tr>
      <w:tr w:rsidR="009102BF" w14:paraId="70575CFC" w14:textId="77777777" w:rsidTr="009102BF">
        <w:tc>
          <w:tcPr>
            <w:tcW w:w="9054" w:type="dxa"/>
            <w:gridSpan w:val="5"/>
            <w:tcBorders>
              <w:top w:val="single" w:sz="4" w:space="0" w:color="auto"/>
              <w:left w:val="single" w:sz="4" w:space="0" w:color="auto"/>
              <w:bottom w:val="single" w:sz="4" w:space="0" w:color="auto"/>
              <w:right w:val="single" w:sz="4" w:space="0" w:color="auto"/>
            </w:tcBorders>
          </w:tcPr>
          <w:p w14:paraId="0012E7E8" w14:textId="77777777" w:rsidR="009102BF" w:rsidRDefault="009102BF" w:rsidP="00424EC9">
            <w:pPr>
              <w:spacing w:line="240" w:lineRule="auto"/>
              <w:jc w:val="center"/>
              <w:rPr>
                <w:rFonts w:ascii="Arial" w:hAnsi="Arial" w:cs="Arial"/>
                <w:b/>
              </w:rPr>
            </w:pPr>
            <w:r>
              <w:rPr>
                <w:rFonts w:ascii="Arial" w:hAnsi="Arial" w:cs="Arial"/>
                <w:b/>
              </w:rPr>
              <w:t>Apartado para contribuciones actuales y nuevas:</w:t>
            </w:r>
          </w:p>
        </w:tc>
      </w:tr>
      <w:tr w:rsidR="009102BF" w14:paraId="4F09A21C"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6297281B" w14:textId="77777777" w:rsidR="009102BF" w:rsidRDefault="009102BF" w:rsidP="00424EC9">
            <w:pPr>
              <w:spacing w:line="240" w:lineRule="auto"/>
              <w:rPr>
                <w:rFonts w:ascii="Arial" w:hAnsi="Arial" w:cs="Arial"/>
              </w:rPr>
            </w:pPr>
            <w:r>
              <w:rPr>
                <w:rFonts w:ascii="Arial" w:hAnsi="Arial" w:cs="Arial"/>
              </w:rPr>
              <w:t>Sujeto:</w:t>
            </w:r>
          </w:p>
        </w:tc>
        <w:tc>
          <w:tcPr>
            <w:tcW w:w="6111" w:type="dxa"/>
            <w:gridSpan w:val="4"/>
            <w:tcBorders>
              <w:top w:val="single" w:sz="4" w:space="0" w:color="auto"/>
              <w:left w:val="single" w:sz="4" w:space="0" w:color="auto"/>
              <w:bottom w:val="single" w:sz="4" w:space="0" w:color="auto"/>
              <w:right w:val="single" w:sz="4" w:space="0" w:color="auto"/>
            </w:tcBorders>
          </w:tcPr>
          <w:p w14:paraId="5BEA8553" w14:textId="77777777" w:rsidR="009102BF" w:rsidRDefault="00EA3A58" w:rsidP="00424EC9">
            <w:pPr>
              <w:spacing w:line="240" w:lineRule="auto"/>
              <w:jc w:val="both"/>
              <w:rPr>
                <w:rFonts w:ascii="Arial" w:hAnsi="Arial" w:cs="Arial"/>
              </w:rPr>
            </w:pPr>
            <w:r>
              <w:rPr>
                <w:rFonts w:ascii="Arial" w:hAnsi="Arial" w:cs="Arial"/>
              </w:rPr>
              <w:t>Prestadores del Servicio Público de Transporte Urbano y Suburbano en ruta Fija.</w:t>
            </w:r>
          </w:p>
        </w:tc>
      </w:tr>
      <w:tr w:rsidR="009102BF" w14:paraId="28F7F61F"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3F9CE7A9" w14:textId="77777777" w:rsidR="009102BF" w:rsidRDefault="009102BF" w:rsidP="00424EC9">
            <w:pPr>
              <w:spacing w:line="240" w:lineRule="auto"/>
              <w:rPr>
                <w:rFonts w:ascii="Arial" w:hAnsi="Arial" w:cs="Arial"/>
              </w:rPr>
            </w:pPr>
            <w:r>
              <w:rPr>
                <w:rFonts w:ascii="Arial" w:hAnsi="Arial" w:cs="Arial"/>
              </w:rPr>
              <w:t>Objeto:</w:t>
            </w:r>
          </w:p>
        </w:tc>
        <w:tc>
          <w:tcPr>
            <w:tcW w:w="6111" w:type="dxa"/>
            <w:gridSpan w:val="4"/>
            <w:tcBorders>
              <w:top w:val="single" w:sz="4" w:space="0" w:color="auto"/>
              <w:left w:val="single" w:sz="4" w:space="0" w:color="auto"/>
              <w:bottom w:val="single" w:sz="4" w:space="0" w:color="auto"/>
              <w:right w:val="single" w:sz="4" w:space="0" w:color="auto"/>
            </w:tcBorders>
          </w:tcPr>
          <w:p w14:paraId="01700FEC" w14:textId="016A657E" w:rsidR="00EA3A58" w:rsidRPr="00A71BA4" w:rsidRDefault="00564B3E" w:rsidP="00EA3A58">
            <w:pPr>
              <w:spacing w:line="240" w:lineRule="auto"/>
              <w:jc w:val="both"/>
              <w:rPr>
                <w:rFonts w:ascii="Arial" w:hAnsi="Arial" w:cs="Arial"/>
                <w:szCs w:val="20"/>
              </w:rPr>
            </w:pPr>
            <w:r w:rsidRPr="00A71BA4">
              <w:rPr>
                <w:rFonts w:ascii="Arial" w:hAnsi="Arial" w:cs="Arial"/>
                <w:szCs w:val="20"/>
              </w:rPr>
              <w:t xml:space="preserve">Con fundamento en el artículo </w:t>
            </w:r>
            <w:r w:rsidR="00EA3A58" w:rsidRPr="00A71BA4">
              <w:rPr>
                <w:rFonts w:ascii="Arial" w:hAnsi="Arial" w:cs="Arial"/>
                <w:szCs w:val="20"/>
              </w:rPr>
              <w:t>115, fracción III, inciso i) y V, inciso h), de la Constitución Política de</w:t>
            </w:r>
            <w:r w:rsidR="008062B7" w:rsidRPr="00A71BA4">
              <w:rPr>
                <w:rFonts w:ascii="Arial" w:hAnsi="Arial" w:cs="Arial"/>
                <w:szCs w:val="20"/>
              </w:rPr>
              <w:t xml:space="preserve"> los Estados Unidos Mexicanos, 117</w:t>
            </w:r>
            <w:r w:rsidR="00EA3A58" w:rsidRPr="00A71BA4">
              <w:rPr>
                <w:rFonts w:ascii="Arial" w:hAnsi="Arial" w:cs="Arial"/>
                <w:szCs w:val="20"/>
              </w:rPr>
              <w:t>, fracción III, inciso i) de la Constitución Política para el Estado de Guanajuato</w:t>
            </w:r>
            <w:r w:rsidR="008062B7" w:rsidRPr="00A71BA4">
              <w:rPr>
                <w:rFonts w:ascii="Arial" w:hAnsi="Arial" w:cs="Arial"/>
                <w:szCs w:val="20"/>
              </w:rPr>
              <w:t>,</w:t>
            </w:r>
            <w:r w:rsidRPr="00A71BA4">
              <w:rPr>
                <w:rFonts w:ascii="Arial" w:hAnsi="Arial" w:cs="Arial"/>
                <w:szCs w:val="20"/>
              </w:rPr>
              <w:t xml:space="preserve"> </w:t>
            </w:r>
            <w:r w:rsidR="003F273A" w:rsidRPr="00A71BA4">
              <w:rPr>
                <w:rFonts w:ascii="Arial" w:hAnsi="Arial" w:cs="Arial"/>
                <w:szCs w:val="20"/>
              </w:rPr>
              <w:t>s</w:t>
            </w:r>
            <w:r w:rsidR="00EA3A58" w:rsidRPr="00A71BA4">
              <w:rPr>
                <w:rFonts w:ascii="Arial" w:hAnsi="Arial" w:cs="Arial"/>
                <w:szCs w:val="20"/>
              </w:rPr>
              <w:t>e prop</w:t>
            </w:r>
            <w:r w:rsidR="00986F72">
              <w:rPr>
                <w:rFonts w:ascii="Arial" w:hAnsi="Arial" w:cs="Arial"/>
                <w:szCs w:val="20"/>
              </w:rPr>
              <w:t xml:space="preserve">one el incremento de tarifa </w:t>
            </w:r>
            <w:r w:rsidR="00766A1F">
              <w:rPr>
                <w:rFonts w:ascii="Arial" w:hAnsi="Arial" w:cs="Arial"/>
                <w:szCs w:val="20"/>
              </w:rPr>
              <w:t>a $5,000.00</w:t>
            </w:r>
          </w:p>
          <w:p w14:paraId="431F75D3" w14:textId="77777777" w:rsidR="00EA3A58" w:rsidRPr="00A71BA4" w:rsidRDefault="00EA3A58" w:rsidP="00EA3A58">
            <w:pPr>
              <w:spacing w:line="240" w:lineRule="auto"/>
              <w:jc w:val="both"/>
              <w:rPr>
                <w:rFonts w:ascii="Arial" w:hAnsi="Arial" w:cs="Arial"/>
                <w:szCs w:val="20"/>
              </w:rPr>
            </w:pPr>
          </w:p>
        </w:tc>
      </w:tr>
      <w:tr w:rsidR="009102BF" w14:paraId="3C74BB35"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4BA9D9BB" w14:textId="77777777" w:rsidR="009102BF" w:rsidRDefault="009102BF" w:rsidP="00424EC9">
            <w:pPr>
              <w:spacing w:line="240" w:lineRule="auto"/>
              <w:rPr>
                <w:rFonts w:ascii="Arial" w:hAnsi="Arial" w:cs="Arial"/>
              </w:rPr>
            </w:pPr>
            <w:r>
              <w:rPr>
                <w:rFonts w:ascii="Arial" w:hAnsi="Arial" w:cs="Arial"/>
              </w:rPr>
              <w:t>Base:</w:t>
            </w:r>
          </w:p>
        </w:tc>
        <w:tc>
          <w:tcPr>
            <w:tcW w:w="6111" w:type="dxa"/>
            <w:gridSpan w:val="4"/>
            <w:tcBorders>
              <w:top w:val="single" w:sz="4" w:space="0" w:color="auto"/>
              <w:left w:val="single" w:sz="4" w:space="0" w:color="auto"/>
              <w:bottom w:val="single" w:sz="4" w:space="0" w:color="auto"/>
              <w:right w:val="single" w:sz="4" w:space="0" w:color="auto"/>
            </w:tcBorders>
          </w:tcPr>
          <w:p w14:paraId="4E12A5F0" w14:textId="4DA2F88C" w:rsidR="009102BF" w:rsidRPr="00E177CC" w:rsidRDefault="003F273A" w:rsidP="00912B87">
            <w:pPr>
              <w:spacing w:line="240" w:lineRule="auto"/>
              <w:jc w:val="both"/>
              <w:rPr>
                <w:rFonts w:ascii="Arial" w:hAnsi="Arial" w:cs="Arial"/>
              </w:rPr>
            </w:pPr>
            <w:r w:rsidRPr="00E177CC">
              <w:rPr>
                <w:rFonts w:ascii="Arial" w:hAnsi="Arial" w:cs="Arial"/>
              </w:rPr>
              <w:t>Derecho</w:t>
            </w:r>
            <w:r w:rsidR="00007643" w:rsidRPr="00E177CC">
              <w:rPr>
                <w:rFonts w:ascii="Arial" w:hAnsi="Arial" w:cs="Arial"/>
              </w:rPr>
              <w:t xml:space="preserve"> </w:t>
            </w:r>
            <w:r w:rsidRPr="00E177CC">
              <w:rPr>
                <w:rFonts w:ascii="Arial" w:hAnsi="Arial" w:cs="Arial"/>
              </w:rPr>
              <w:t xml:space="preserve">por número económico y/o </w:t>
            </w:r>
            <w:r w:rsidR="005D0E5C" w:rsidRPr="00E177CC">
              <w:rPr>
                <w:rFonts w:ascii="Arial" w:hAnsi="Arial" w:cs="Arial"/>
              </w:rPr>
              <w:t>autobús</w:t>
            </w:r>
            <w:r w:rsidR="00007643" w:rsidRPr="00E177CC">
              <w:rPr>
                <w:rFonts w:ascii="Arial" w:hAnsi="Arial" w:cs="Arial"/>
              </w:rPr>
              <w:t>, generado</w:t>
            </w:r>
            <w:r w:rsidR="00FA06FD" w:rsidRPr="00E177CC">
              <w:rPr>
                <w:rFonts w:ascii="Arial" w:hAnsi="Arial" w:cs="Arial"/>
              </w:rPr>
              <w:t xml:space="preserve"> </w:t>
            </w:r>
            <w:r w:rsidR="00B37A7A" w:rsidRPr="00E177CC">
              <w:rPr>
                <w:rFonts w:ascii="Arial" w:eastAsia="Times New Roman" w:hAnsi="Arial" w:cs="Arial"/>
                <w:lang w:eastAsia="es-MX"/>
              </w:rPr>
              <w:t xml:space="preserve">por </w:t>
            </w:r>
            <w:r w:rsidR="00B37A7A" w:rsidRPr="0064671A">
              <w:rPr>
                <w:rFonts w:ascii="Arial" w:eastAsia="Times New Roman" w:hAnsi="Arial" w:cs="Arial"/>
                <w:lang w:eastAsia="es-MX"/>
              </w:rPr>
              <w:t>la</w:t>
            </w:r>
            <w:r w:rsidR="0064671A">
              <w:rPr>
                <w:rFonts w:ascii="Arial" w:eastAsia="Times New Roman" w:hAnsi="Arial" w:cs="Arial"/>
                <w:lang w:eastAsia="es-MX"/>
              </w:rPr>
              <w:t xml:space="preserve"> expedición de</w:t>
            </w:r>
            <w:r w:rsidR="001D7A01">
              <w:rPr>
                <w:rFonts w:ascii="Arial" w:eastAsia="Times New Roman" w:hAnsi="Arial" w:cs="Arial"/>
                <w:b/>
                <w:sz w:val="20"/>
                <w:szCs w:val="20"/>
                <w:lang w:eastAsia="es-MX"/>
              </w:rPr>
              <w:t xml:space="preserve"> </w:t>
            </w:r>
            <w:r w:rsidR="00912B87" w:rsidRPr="00912B87">
              <w:rPr>
                <w:rFonts w:ascii="Arial" w:eastAsia="Times New Roman" w:hAnsi="Arial" w:cs="Arial"/>
                <w:b/>
                <w:sz w:val="20"/>
                <w:szCs w:val="20"/>
                <w:lang w:eastAsia="es-MX"/>
              </w:rPr>
              <w:t>Autorización por prórroga para uso de unidades en</w:t>
            </w:r>
            <w:r w:rsidR="00912B87">
              <w:rPr>
                <w:rFonts w:ascii="Arial" w:eastAsia="Times New Roman" w:hAnsi="Arial" w:cs="Arial"/>
                <w:b/>
                <w:sz w:val="20"/>
                <w:szCs w:val="20"/>
                <w:lang w:eastAsia="es-MX"/>
              </w:rPr>
              <w:t xml:space="preserve"> </w:t>
            </w:r>
            <w:r w:rsidR="00912B87" w:rsidRPr="00912B87">
              <w:rPr>
                <w:rFonts w:ascii="Arial" w:eastAsia="Times New Roman" w:hAnsi="Arial" w:cs="Arial"/>
                <w:b/>
                <w:sz w:val="20"/>
                <w:szCs w:val="20"/>
                <w:lang w:eastAsia="es-MX"/>
              </w:rPr>
              <w:t>buen estado, por un año</w:t>
            </w:r>
            <w:r w:rsidR="0064671A">
              <w:rPr>
                <w:rFonts w:ascii="Arial" w:eastAsia="Times New Roman" w:hAnsi="Arial" w:cs="Arial"/>
                <w:b/>
                <w:lang w:eastAsia="es-MX"/>
              </w:rPr>
              <w:t>.</w:t>
            </w:r>
          </w:p>
        </w:tc>
      </w:tr>
      <w:tr w:rsidR="009102BF" w14:paraId="140DD061" w14:textId="77777777" w:rsidTr="005160C2">
        <w:trPr>
          <w:trHeight w:val="610"/>
        </w:trPr>
        <w:tc>
          <w:tcPr>
            <w:tcW w:w="2943" w:type="dxa"/>
            <w:tcBorders>
              <w:top w:val="single" w:sz="4" w:space="0" w:color="auto"/>
              <w:left w:val="single" w:sz="4" w:space="0" w:color="auto"/>
              <w:bottom w:val="single" w:sz="4" w:space="0" w:color="auto"/>
              <w:right w:val="single" w:sz="4" w:space="0" w:color="auto"/>
            </w:tcBorders>
            <w:vAlign w:val="center"/>
            <w:hideMark/>
          </w:tcPr>
          <w:p w14:paraId="33F16B52" w14:textId="77777777" w:rsidR="009102BF" w:rsidRDefault="009102BF" w:rsidP="005160C2">
            <w:pPr>
              <w:spacing w:line="240" w:lineRule="auto"/>
              <w:rPr>
                <w:rFonts w:ascii="Arial" w:hAnsi="Arial" w:cs="Arial"/>
              </w:rPr>
            </w:pPr>
            <w:r>
              <w:rPr>
                <w:rFonts w:ascii="Arial" w:hAnsi="Arial" w:cs="Arial"/>
              </w:rPr>
              <w:t>Tasa o tarifa:</w:t>
            </w:r>
          </w:p>
        </w:tc>
        <w:tc>
          <w:tcPr>
            <w:tcW w:w="6111" w:type="dxa"/>
            <w:gridSpan w:val="4"/>
            <w:tcBorders>
              <w:top w:val="single" w:sz="4" w:space="0" w:color="auto"/>
              <w:left w:val="single" w:sz="4" w:space="0" w:color="auto"/>
              <w:bottom w:val="single" w:sz="4" w:space="0" w:color="auto"/>
              <w:right w:val="single" w:sz="4" w:space="0" w:color="auto"/>
            </w:tcBorders>
            <w:vAlign w:val="center"/>
            <w:hideMark/>
          </w:tcPr>
          <w:p w14:paraId="46039F94" w14:textId="29775A8C" w:rsidR="009102BF" w:rsidRDefault="005160C2" w:rsidP="00766A1F">
            <w:pPr>
              <w:spacing w:line="240" w:lineRule="auto"/>
              <w:rPr>
                <w:rFonts w:ascii="Arial" w:hAnsi="Arial" w:cs="Arial"/>
              </w:rPr>
            </w:pPr>
            <w:r>
              <w:rPr>
                <w:rFonts w:ascii="Arial" w:hAnsi="Arial" w:cs="Arial"/>
              </w:rPr>
              <w:t>$</w:t>
            </w:r>
            <w:r w:rsidR="00766A1F">
              <w:rPr>
                <w:rFonts w:ascii="Arial" w:hAnsi="Arial" w:cs="Arial"/>
              </w:rPr>
              <w:t>5,000.00</w:t>
            </w:r>
          </w:p>
        </w:tc>
      </w:tr>
      <w:tr w:rsidR="009102BF" w14:paraId="42934E14" w14:textId="77777777" w:rsidTr="007E01B3">
        <w:tc>
          <w:tcPr>
            <w:tcW w:w="2943" w:type="dxa"/>
            <w:tcBorders>
              <w:top w:val="single" w:sz="4" w:space="0" w:color="auto"/>
              <w:left w:val="single" w:sz="4" w:space="0" w:color="auto"/>
              <w:bottom w:val="single" w:sz="4" w:space="0" w:color="auto"/>
              <w:right w:val="single" w:sz="4" w:space="0" w:color="auto"/>
            </w:tcBorders>
            <w:vAlign w:val="center"/>
            <w:hideMark/>
          </w:tcPr>
          <w:p w14:paraId="70FFC405" w14:textId="77777777" w:rsidR="009102BF" w:rsidRDefault="009102BF" w:rsidP="007E01B3">
            <w:pPr>
              <w:spacing w:line="240" w:lineRule="auto"/>
              <w:jc w:val="center"/>
              <w:rPr>
                <w:rFonts w:ascii="Arial" w:hAnsi="Arial" w:cs="Arial"/>
              </w:rPr>
            </w:pPr>
            <w:r>
              <w:rPr>
                <w:rFonts w:ascii="Arial" w:hAnsi="Arial" w:cs="Arial"/>
              </w:rPr>
              <w:t>Tipo de estudio para medir el</w:t>
            </w:r>
          </w:p>
          <w:p w14:paraId="1F0FE928" w14:textId="77777777" w:rsidR="009102BF" w:rsidRDefault="009102BF" w:rsidP="007E01B3">
            <w:pPr>
              <w:spacing w:line="240" w:lineRule="auto"/>
              <w:jc w:val="center"/>
              <w:rPr>
                <w:rFonts w:ascii="Arial" w:hAnsi="Arial" w:cs="Arial"/>
              </w:rPr>
            </w:pPr>
            <w:r>
              <w:rPr>
                <w:rFonts w:ascii="Arial" w:hAnsi="Arial" w:cs="Arial"/>
              </w:rPr>
              <w:lastRenderedPageBreak/>
              <w:t>Impacto recaudatorio esperado:</w:t>
            </w:r>
          </w:p>
        </w:tc>
        <w:tc>
          <w:tcPr>
            <w:tcW w:w="6111" w:type="dxa"/>
            <w:gridSpan w:val="4"/>
            <w:tcBorders>
              <w:top w:val="single" w:sz="4" w:space="0" w:color="auto"/>
              <w:left w:val="single" w:sz="4" w:space="0" w:color="auto"/>
              <w:bottom w:val="single" w:sz="4" w:space="0" w:color="auto"/>
              <w:right w:val="single" w:sz="4" w:space="0" w:color="auto"/>
            </w:tcBorders>
          </w:tcPr>
          <w:p w14:paraId="33619B65" w14:textId="349F889E" w:rsidR="009102BF" w:rsidRPr="006F3CBE" w:rsidRDefault="00106655" w:rsidP="00ED0E9A">
            <w:pPr>
              <w:spacing w:line="240" w:lineRule="auto"/>
              <w:jc w:val="both"/>
              <w:rPr>
                <w:rFonts w:ascii="Arial" w:hAnsi="Arial" w:cs="Arial"/>
              </w:rPr>
            </w:pPr>
            <w:r w:rsidRPr="006F3CBE">
              <w:rPr>
                <w:rFonts w:ascii="Arial" w:hAnsi="Arial" w:cs="Arial"/>
              </w:rPr>
              <w:lastRenderedPageBreak/>
              <w:t xml:space="preserve">Análisis del </w:t>
            </w:r>
            <w:r w:rsidRPr="006F3CBE">
              <w:rPr>
                <w:rFonts w:ascii="Arial" w:hAnsi="Arial" w:cs="Arial"/>
                <w:b/>
                <w:bCs/>
                <w:i/>
                <w:iCs/>
              </w:rPr>
              <w:t xml:space="preserve">Índice Nacional de Precios al Consumidor (INPC) </w:t>
            </w:r>
            <w:r w:rsidRPr="006F3CBE">
              <w:rPr>
                <w:rFonts w:ascii="Arial" w:hAnsi="Arial" w:cs="Arial"/>
              </w:rPr>
              <w:t xml:space="preserve">que muestra los costos promedio en el mercado, por </w:t>
            </w:r>
            <w:r w:rsidRPr="006F3CBE">
              <w:rPr>
                <w:rFonts w:ascii="Arial" w:hAnsi="Arial" w:cs="Arial"/>
              </w:rPr>
              <w:lastRenderedPageBreak/>
              <w:t xml:space="preserve">el </w:t>
            </w:r>
            <w:r w:rsidRPr="006F3CBE">
              <w:rPr>
                <w:rFonts w:ascii="Arial" w:hAnsi="Arial" w:cs="Arial"/>
                <w:color w:val="222222"/>
                <w:shd w:val="clear" w:color="auto" w:fill="FFFFFF"/>
              </w:rPr>
              <w:t>Instituto Nacional de Estadística y Geografía (</w:t>
            </w:r>
            <w:r w:rsidRPr="006F3CBE">
              <w:rPr>
                <w:rFonts w:ascii="Arial" w:hAnsi="Arial" w:cs="Arial"/>
                <w:b/>
                <w:bCs/>
                <w:color w:val="222222"/>
                <w:shd w:val="clear" w:color="auto" w:fill="FFFFFF"/>
              </w:rPr>
              <w:t xml:space="preserve">INEGI), </w:t>
            </w:r>
            <w:hyperlink r:id="rId8" w:history="1">
              <w:r w:rsidRPr="006F3CBE">
                <w:rPr>
                  <w:rStyle w:val="Hipervnculo"/>
                  <w:rFonts w:ascii="Arial" w:hAnsi="Arial" w:cs="Arial"/>
                </w:rPr>
                <w:t>https://www.inegi.org.mx/app/preciospromedio/</w:t>
              </w:r>
            </w:hyperlink>
            <w:r w:rsidRPr="006F3CBE">
              <w:rPr>
                <w:rFonts w:ascii="Arial" w:hAnsi="Arial" w:cs="Arial"/>
              </w:rPr>
              <w:t xml:space="preserve">, el cual revela los precios promedio de los productos que se calculan con la media aritmética de los precios observados en un año, para una presentación en particular, y las unidades de medida observadas se convierten a unidades estandarizadas de comparación (kilogramos, litros, paquetes, </w:t>
            </w:r>
            <w:proofErr w:type="spellStart"/>
            <w:r w:rsidRPr="006F3CBE">
              <w:rPr>
                <w:rFonts w:ascii="Arial" w:hAnsi="Arial" w:cs="Arial"/>
              </w:rPr>
              <w:t>etc</w:t>
            </w:r>
            <w:proofErr w:type="spellEnd"/>
            <w:r w:rsidRPr="006F3CBE">
              <w:rPr>
                <w:rFonts w:ascii="Arial" w:hAnsi="Arial" w:cs="Arial"/>
              </w:rPr>
              <w:t>)</w:t>
            </w:r>
            <w:r w:rsidR="006F3CBE">
              <w:rPr>
                <w:rFonts w:ascii="Arial" w:hAnsi="Arial" w:cs="Arial"/>
              </w:rPr>
              <w:t xml:space="preserve"> </w:t>
            </w:r>
            <w:r w:rsidR="006F3CBE">
              <w:rPr>
                <w:rFonts w:ascii="Arial" w:hAnsi="Arial" w:cs="Arial"/>
                <w:b/>
                <w:bCs/>
                <w:i/>
                <w:iCs/>
              </w:rPr>
              <w:t>anexo 8.1.</w:t>
            </w:r>
          </w:p>
        </w:tc>
      </w:tr>
      <w:tr w:rsidR="009102BF" w14:paraId="021052F1" w14:textId="77777777" w:rsidTr="009102BF">
        <w:tc>
          <w:tcPr>
            <w:tcW w:w="9054" w:type="dxa"/>
            <w:gridSpan w:val="5"/>
            <w:tcBorders>
              <w:top w:val="single" w:sz="4" w:space="0" w:color="auto"/>
              <w:left w:val="single" w:sz="4" w:space="0" w:color="auto"/>
              <w:bottom w:val="single" w:sz="4" w:space="0" w:color="auto"/>
              <w:right w:val="single" w:sz="4" w:space="0" w:color="auto"/>
            </w:tcBorders>
            <w:hideMark/>
          </w:tcPr>
          <w:p w14:paraId="28272DAF" w14:textId="77777777" w:rsidR="009102BF" w:rsidRDefault="009102BF" w:rsidP="00424EC9">
            <w:pPr>
              <w:spacing w:line="240" w:lineRule="auto"/>
              <w:jc w:val="center"/>
              <w:rPr>
                <w:rFonts w:ascii="Arial" w:hAnsi="Arial" w:cs="Arial"/>
                <w:b/>
              </w:rPr>
            </w:pPr>
            <w:r>
              <w:rPr>
                <w:rFonts w:ascii="Arial" w:hAnsi="Arial" w:cs="Arial"/>
                <w:b/>
              </w:rPr>
              <w:lastRenderedPageBreak/>
              <w:t>Elementos y alcances de la contribución:</w:t>
            </w:r>
          </w:p>
        </w:tc>
      </w:tr>
      <w:tr w:rsidR="005160C2" w14:paraId="536FE613" w14:textId="77777777" w:rsidTr="0094367A">
        <w:tc>
          <w:tcPr>
            <w:tcW w:w="2943" w:type="dxa"/>
            <w:tcBorders>
              <w:top w:val="single" w:sz="4" w:space="0" w:color="auto"/>
              <w:left w:val="single" w:sz="4" w:space="0" w:color="auto"/>
              <w:bottom w:val="single" w:sz="4" w:space="0" w:color="auto"/>
              <w:right w:val="single" w:sz="4" w:space="0" w:color="auto"/>
            </w:tcBorders>
            <w:vAlign w:val="center"/>
            <w:hideMark/>
          </w:tcPr>
          <w:p w14:paraId="474A9C26" w14:textId="4499E1C3" w:rsidR="005160C2" w:rsidRDefault="005160C2" w:rsidP="005160C2">
            <w:pPr>
              <w:spacing w:line="240" w:lineRule="auto"/>
              <w:jc w:val="center"/>
              <w:rPr>
                <w:rFonts w:ascii="Arial" w:hAnsi="Arial" w:cs="Arial"/>
              </w:rPr>
            </w:pPr>
            <w:r>
              <w:rPr>
                <w:rFonts w:ascii="Arial" w:hAnsi="Arial" w:cs="Arial"/>
              </w:rPr>
              <w:t>Descripción de la proporcionalidad en relación con la capacidad contributiva del contribuyente:</w:t>
            </w:r>
          </w:p>
        </w:tc>
        <w:tc>
          <w:tcPr>
            <w:tcW w:w="6111" w:type="dxa"/>
            <w:gridSpan w:val="4"/>
            <w:tcBorders>
              <w:top w:val="single" w:sz="4" w:space="0" w:color="auto"/>
              <w:left w:val="single" w:sz="4" w:space="0" w:color="auto"/>
              <w:bottom w:val="single" w:sz="4" w:space="0" w:color="auto"/>
              <w:right w:val="single" w:sz="4" w:space="0" w:color="auto"/>
            </w:tcBorders>
          </w:tcPr>
          <w:p w14:paraId="3E1C8235" w14:textId="77777777" w:rsidR="005160C2" w:rsidRPr="005C4D48" w:rsidRDefault="005160C2" w:rsidP="005160C2">
            <w:pPr>
              <w:spacing w:line="240" w:lineRule="auto"/>
              <w:jc w:val="both"/>
              <w:rPr>
                <w:rFonts w:ascii="Arial" w:hAnsi="Arial" w:cs="Arial"/>
              </w:rPr>
            </w:pPr>
            <w:r w:rsidRPr="005C4D48">
              <w:rPr>
                <w:rFonts w:ascii="Arial" w:hAnsi="Arial" w:cs="Arial"/>
              </w:rPr>
              <w:t>-</w:t>
            </w:r>
            <w:r>
              <w:rPr>
                <w:rFonts w:ascii="Arial" w:hAnsi="Arial" w:cs="Arial"/>
              </w:rPr>
              <w:t xml:space="preserve"> </w:t>
            </w:r>
            <w:r w:rsidRPr="005C4D48">
              <w:rPr>
                <w:rFonts w:ascii="Arial" w:hAnsi="Arial" w:cs="Arial"/>
              </w:rPr>
              <w:t>Existen ciertos indicadores que supervisa la entidad municipal del Transporte Público que permiten calificar en términos económicos la situación personal del contribuyente hablando de personas físicas o empresas dedicadas al Servicio Público de Transporte Urbano y Suburbano en ruta Fija, sin dejar de mencionar que para prestar dicho servicio el Reglamento de Transporte para el Municipio de Guanajuato, establece que los transportistas deberán de demostrar y presentar la capacidad técnica, legal y financiera, lo que pone de manifiesto la capacidad contributiva, así como el “capital” o patrimonio que se posee</w:t>
            </w:r>
            <w:r>
              <w:rPr>
                <w:rFonts w:ascii="Arial" w:hAnsi="Arial" w:cs="Arial"/>
              </w:rPr>
              <w:t>, documentación que se encuentra resguardada en la Dirección de Movilidad y Transporte Municipal.</w:t>
            </w:r>
          </w:p>
          <w:p w14:paraId="66BC0611" w14:textId="77777777" w:rsidR="005160C2" w:rsidRDefault="005160C2" w:rsidP="005160C2">
            <w:pPr>
              <w:spacing w:line="240" w:lineRule="auto"/>
              <w:jc w:val="both"/>
              <w:rPr>
                <w:rFonts w:ascii="Arial" w:hAnsi="Arial" w:cs="Arial"/>
              </w:rPr>
            </w:pPr>
            <w:r>
              <w:rPr>
                <w:rFonts w:ascii="Arial" w:hAnsi="Arial" w:cs="Arial"/>
              </w:rPr>
              <w:t>- Recordando que en Junio de 2018, se presentó un ajuste tarifario al Servicio Público de Transporte Urbano y Suburbano en ruta Fija, incrementando hasta un 40% de la tarifa que se encontraba vigente en aquel entonces, atendiendo la inflación anual desde su último ajuste tarifario (2010), además de establecer una utilidad razonable para el transportista como lo menciona el reglamento especialista en la materia.</w:t>
            </w:r>
          </w:p>
          <w:p w14:paraId="564199B5" w14:textId="77777777" w:rsidR="005160C2" w:rsidRDefault="005160C2" w:rsidP="005160C2">
            <w:pPr>
              <w:spacing w:line="240" w:lineRule="auto"/>
              <w:jc w:val="both"/>
              <w:rPr>
                <w:rFonts w:ascii="Arial" w:hAnsi="Arial" w:cs="Arial"/>
              </w:rPr>
            </w:pPr>
            <w:r>
              <w:rPr>
                <w:rFonts w:ascii="Arial" w:hAnsi="Arial" w:cs="Arial"/>
              </w:rPr>
              <w:t>- El organismo responsable del seguimiento, supervisión, administración y control del Transporte Publico Municipal, analiza</w:t>
            </w:r>
            <w:r w:rsidRPr="007220D3">
              <w:rPr>
                <w:rFonts w:ascii="Arial" w:hAnsi="Arial" w:cs="Arial"/>
              </w:rPr>
              <w:t xml:space="preserve"> ambos indicadores los cuales constituyen factores que ponen de manifiesto la realidad financiera y económica </w:t>
            </w:r>
            <w:r>
              <w:rPr>
                <w:rFonts w:ascii="Arial" w:hAnsi="Arial" w:cs="Arial"/>
              </w:rPr>
              <w:t>de las empresas del transporte, así como las personas físicas dedicadas a este servicio</w:t>
            </w:r>
            <w:r w:rsidRPr="007220D3">
              <w:rPr>
                <w:rFonts w:ascii="Arial" w:hAnsi="Arial" w:cs="Arial"/>
              </w:rPr>
              <w:t xml:space="preserve">. </w:t>
            </w:r>
          </w:p>
          <w:p w14:paraId="2735BBBC" w14:textId="2DB2A54C" w:rsidR="005160C2" w:rsidRDefault="005160C2" w:rsidP="005160C2">
            <w:pPr>
              <w:spacing w:line="240" w:lineRule="auto"/>
              <w:jc w:val="both"/>
              <w:rPr>
                <w:rFonts w:ascii="Arial" w:hAnsi="Arial" w:cs="Arial"/>
              </w:rPr>
            </w:pPr>
            <w:r>
              <w:rPr>
                <w:rFonts w:ascii="Arial" w:hAnsi="Arial" w:cs="Arial"/>
              </w:rPr>
              <w:t>- A</w:t>
            </w:r>
            <w:r w:rsidRPr="007220D3">
              <w:rPr>
                <w:rFonts w:ascii="Arial" w:hAnsi="Arial" w:cs="Arial"/>
              </w:rPr>
              <w:t xml:space="preserve">mbos muestran una íntima relación dado que es por medio de </w:t>
            </w:r>
            <w:r>
              <w:rPr>
                <w:rFonts w:ascii="Arial" w:hAnsi="Arial" w:cs="Arial"/>
              </w:rPr>
              <w:t>los pagos de impuestos</w:t>
            </w:r>
            <w:r w:rsidRPr="007220D3">
              <w:rPr>
                <w:rFonts w:ascii="Arial" w:hAnsi="Arial" w:cs="Arial"/>
              </w:rPr>
              <w:t xml:space="preserve"> que se justifica el patrimonio</w:t>
            </w:r>
            <w:r>
              <w:rPr>
                <w:rFonts w:ascii="Arial" w:hAnsi="Arial" w:cs="Arial"/>
              </w:rPr>
              <w:t xml:space="preserve"> de cada empresa o persona física</w:t>
            </w:r>
            <w:r w:rsidRPr="007220D3">
              <w:rPr>
                <w:rFonts w:ascii="Arial" w:hAnsi="Arial" w:cs="Arial"/>
              </w:rPr>
              <w:t xml:space="preserve"> y es a través del patrimonio que se justifican </w:t>
            </w:r>
            <w:r>
              <w:rPr>
                <w:rFonts w:ascii="Arial" w:hAnsi="Arial" w:cs="Arial"/>
              </w:rPr>
              <w:t>los incrementos de impuestos.</w:t>
            </w:r>
          </w:p>
        </w:tc>
      </w:tr>
      <w:tr w:rsidR="009102BF" w14:paraId="07CE6488" w14:textId="77777777" w:rsidTr="009B7937">
        <w:trPr>
          <w:trHeight w:val="1198"/>
        </w:trPr>
        <w:tc>
          <w:tcPr>
            <w:tcW w:w="2943" w:type="dxa"/>
            <w:tcBorders>
              <w:top w:val="single" w:sz="4" w:space="0" w:color="auto"/>
              <w:left w:val="single" w:sz="4" w:space="0" w:color="auto"/>
              <w:bottom w:val="single" w:sz="4" w:space="0" w:color="auto"/>
              <w:right w:val="single" w:sz="4" w:space="0" w:color="auto"/>
            </w:tcBorders>
            <w:hideMark/>
          </w:tcPr>
          <w:p w14:paraId="06DA4B63" w14:textId="77777777" w:rsidR="009102BF" w:rsidRDefault="009102BF" w:rsidP="00424EC9">
            <w:pPr>
              <w:spacing w:line="240" w:lineRule="auto"/>
              <w:jc w:val="center"/>
              <w:rPr>
                <w:rFonts w:ascii="Arial" w:hAnsi="Arial" w:cs="Arial"/>
              </w:rPr>
            </w:pPr>
            <w:r>
              <w:rPr>
                <w:rFonts w:ascii="Arial" w:hAnsi="Arial" w:cs="Arial"/>
              </w:rPr>
              <w:lastRenderedPageBreak/>
              <w:t>Descripción de la equidad en el cobro:</w:t>
            </w:r>
          </w:p>
        </w:tc>
        <w:tc>
          <w:tcPr>
            <w:tcW w:w="6111" w:type="dxa"/>
            <w:gridSpan w:val="4"/>
            <w:tcBorders>
              <w:top w:val="single" w:sz="4" w:space="0" w:color="auto"/>
              <w:left w:val="single" w:sz="4" w:space="0" w:color="auto"/>
              <w:bottom w:val="single" w:sz="4" w:space="0" w:color="auto"/>
              <w:right w:val="single" w:sz="4" w:space="0" w:color="auto"/>
            </w:tcBorders>
          </w:tcPr>
          <w:p w14:paraId="7F8AB854" w14:textId="6B0C0F16" w:rsidR="009102BF" w:rsidRDefault="009B7937" w:rsidP="00213143">
            <w:pPr>
              <w:spacing w:line="240" w:lineRule="auto"/>
              <w:jc w:val="both"/>
              <w:rPr>
                <w:rFonts w:ascii="Arial" w:hAnsi="Arial" w:cs="Arial"/>
              </w:rPr>
            </w:pPr>
            <w:r>
              <w:rPr>
                <w:rFonts w:ascii="Arial" w:hAnsi="Arial" w:cs="Arial"/>
              </w:rPr>
              <w:t xml:space="preserve">La vigencia de </w:t>
            </w:r>
            <w:r w:rsidR="00213143">
              <w:rPr>
                <w:rFonts w:ascii="Arial" w:hAnsi="Arial" w:cs="Arial"/>
              </w:rPr>
              <w:t>un</w:t>
            </w:r>
            <w:r w:rsidR="001D7A01">
              <w:rPr>
                <w:rFonts w:ascii="Arial" w:hAnsi="Arial" w:cs="Arial"/>
              </w:rPr>
              <w:t>a</w:t>
            </w:r>
            <w:r w:rsidR="00213143">
              <w:rPr>
                <w:rFonts w:ascii="Arial" w:hAnsi="Arial" w:cs="Arial"/>
              </w:rPr>
              <w:t xml:space="preserve"> </w:t>
            </w:r>
            <w:r w:rsidR="005160C2">
              <w:rPr>
                <w:rFonts w:ascii="Arial" w:hAnsi="Arial" w:cs="Arial"/>
              </w:rPr>
              <w:t>Prórroga</w:t>
            </w:r>
            <w:r w:rsidR="00912B87">
              <w:rPr>
                <w:rFonts w:ascii="Arial" w:hAnsi="Arial" w:cs="Arial"/>
              </w:rPr>
              <w:t xml:space="preserve"> para uso de unidades</w:t>
            </w:r>
            <w:r w:rsidR="007C0314">
              <w:rPr>
                <w:rFonts w:ascii="Arial" w:hAnsi="Arial" w:cs="Arial"/>
              </w:rPr>
              <w:t xml:space="preserve"> es de 5 años más los 10 de vida útil</w:t>
            </w:r>
            <w:r w:rsidR="00A86D99">
              <w:rPr>
                <w:rFonts w:ascii="Arial" w:hAnsi="Arial" w:cs="Arial"/>
              </w:rPr>
              <w:t xml:space="preserve"> y</w:t>
            </w:r>
            <w:r w:rsidR="005B2C65">
              <w:rPr>
                <w:rFonts w:ascii="Arial" w:hAnsi="Arial" w:cs="Arial"/>
              </w:rPr>
              <w:t xml:space="preserve"> es un derecho y sirve para </w:t>
            </w:r>
            <w:r w:rsidR="00A86D99">
              <w:rPr>
                <w:rFonts w:ascii="Arial" w:hAnsi="Arial" w:cs="Arial"/>
              </w:rPr>
              <w:t>que un vehículo está en óptimas condiciones para operar</w:t>
            </w:r>
            <w:r w:rsidR="007C0314">
              <w:rPr>
                <w:rFonts w:ascii="Arial" w:hAnsi="Arial" w:cs="Arial"/>
              </w:rPr>
              <w:t xml:space="preserve"> después de los 10 años que marca el Reglamento de Transporte Público para el Municipio de Guanajuato</w:t>
            </w:r>
            <w:r>
              <w:rPr>
                <w:rFonts w:ascii="Arial" w:hAnsi="Arial" w:cs="Arial"/>
              </w:rPr>
              <w:t xml:space="preserve">, por lo que el beneficio </w:t>
            </w:r>
            <w:r w:rsidR="009B61A4">
              <w:rPr>
                <w:rFonts w:ascii="Arial" w:hAnsi="Arial" w:cs="Arial"/>
              </w:rPr>
              <w:t xml:space="preserve">es mayor </w:t>
            </w:r>
            <w:r w:rsidR="00884F45">
              <w:rPr>
                <w:rFonts w:ascii="Arial" w:hAnsi="Arial" w:cs="Arial"/>
              </w:rPr>
              <w:t xml:space="preserve">en relación </w:t>
            </w:r>
            <w:r w:rsidR="007C0314">
              <w:rPr>
                <w:rFonts w:ascii="Arial" w:hAnsi="Arial" w:cs="Arial"/>
              </w:rPr>
              <w:t xml:space="preserve">a su </w:t>
            </w:r>
            <w:r w:rsidR="009B61A4">
              <w:rPr>
                <w:rFonts w:ascii="Arial" w:hAnsi="Arial" w:cs="Arial"/>
              </w:rPr>
              <w:t>pago.</w:t>
            </w:r>
          </w:p>
        </w:tc>
      </w:tr>
      <w:tr w:rsidR="009102BF" w14:paraId="2A9815EF" w14:textId="77777777" w:rsidTr="009E29CE">
        <w:trPr>
          <w:trHeight w:val="755"/>
        </w:trPr>
        <w:tc>
          <w:tcPr>
            <w:tcW w:w="2943" w:type="dxa"/>
            <w:tcBorders>
              <w:top w:val="single" w:sz="4" w:space="0" w:color="auto"/>
              <w:left w:val="single" w:sz="4" w:space="0" w:color="auto"/>
              <w:bottom w:val="single" w:sz="4" w:space="0" w:color="auto"/>
              <w:right w:val="single" w:sz="4" w:space="0" w:color="auto"/>
            </w:tcBorders>
            <w:vAlign w:val="center"/>
          </w:tcPr>
          <w:p w14:paraId="222FF002" w14:textId="716641D2" w:rsidR="009102BF" w:rsidRDefault="009102BF" w:rsidP="009E29CE">
            <w:pPr>
              <w:spacing w:line="240" w:lineRule="auto"/>
              <w:jc w:val="center"/>
              <w:rPr>
                <w:rFonts w:ascii="Arial" w:hAnsi="Arial" w:cs="Arial"/>
              </w:rPr>
            </w:pPr>
            <w:r>
              <w:rPr>
                <w:rFonts w:ascii="Arial" w:hAnsi="Arial" w:cs="Arial"/>
              </w:rPr>
              <w:t>Impacto social:</w:t>
            </w:r>
          </w:p>
        </w:tc>
        <w:tc>
          <w:tcPr>
            <w:tcW w:w="6111" w:type="dxa"/>
            <w:gridSpan w:val="4"/>
            <w:tcBorders>
              <w:top w:val="single" w:sz="4" w:space="0" w:color="auto"/>
              <w:left w:val="single" w:sz="4" w:space="0" w:color="auto"/>
              <w:bottom w:val="single" w:sz="4" w:space="0" w:color="auto"/>
              <w:right w:val="single" w:sz="4" w:space="0" w:color="auto"/>
            </w:tcBorders>
          </w:tcPr>
          <w:p w14:paraId="24173D51" w14:textId="53D14A9F" w:rsidR="009102BF" w:rsidRDefault="008B32E7" w:rsidP="009E29CE">
            <w:pPr>
              <w:spacing w:line="240" w:lineRule="auto"/>
              <w:jc w:val="both"/>
              <w:rPr>
                <w:rFonts w:ascii="Arial" w:hAnsi="Arial" w:cs="Arial"/>
              </w:rPr>
            </w:pPr>
            <w:r>
              <w:rPr>
                <w:rFonts w:ascii="Arial" w:hAnsi="Arial" w:cs="Arial"/>
              </w:rPr>
              <w:t>E</w:t>
            </w:r>
            <w:r w:rsidR="009E29CE">
              <w:rPr>
                <w:rFonts w:ascii="Arial" w:hAnsi="Arial" w:cs="Arial"/>
              </w:rPr>
              <w:t xml:space="preserve">l impacto </w:t>
            </w:r>
            <w:r w:rsidR="009E29CE" w:rsidRPr="009E29CE">
              <w:rPr>
                <w:rFonts w:ascii="Arial" w:hAnsi="Arial" w:cs="Arial"/>
              </w:rPr>
              <w:t>social, en general, se concentra mayormente en los hogares con menores ingresos,</w:t>
            </w:r>
            <w:r w:rsidR="009E29CE">
              <w:rPr>
                <w:rFonts w:ascii="Arial" w:hAnsi="Arial" w:cs="Arial"/>
              </w:rPr>
              <w:t xml:space="preserve"> </w:t>
            </w:r>
            <w:r w:rsidR="009E29CE" w:rsidRPr="009E29CE">
              <w:rPr>
                <w:rFonts w:ascii="Arial" w:hAnsi="Arial" w:cs="Arial"/>
              </w:rPr>
              <w:t>pero que, dado que el presupuesto dedicado a ellos es pequeño, su efecto en la desigualdad y la</w:t>
            </w:r>
            <w:r w:rsidR="009E29CE">
              <w:rPr>
                <w:rFonts w:ascii="Arial" w:hAnsi="Arial" w:cs="Arial"/>
              </w:rPr>
              <w:t xml:space="preserve"> </w:t>
            </w:r>
            <w:r w:rsidR="009E29CE" w:rsidRPr="009E29CE">
              <w:rPr>
                <w:rFonts w:ascii="Arial" w:hAnsi="Arial" w:cs="Arial"/>
              </w:rPr>
              <w:t>pobreza es limitado</w:t>
            </w:r>
            <w:r>
              <w:rPr>
                <w:rFonts w:ascii="Arial" w:hAnsi="Arial" w:cs="Arial"/>
              </w:rPr>
              <w:t>, mostrando</w:t>
            </w:r>
            <w:r w:rsidR="009E29CE" w:rsidRPr="009E29CE">
              <w:rPr>
                <w:rFonts w:ascii="Arial" w:hAnsi="Arial" w:cs="Arial"/>
              </w:rPr>
              <w:t xml:space="preserve"> que una porción significativa de los recursos dedicados</w:t>
            </w:r>
            <w:r w:rsidR="009E29CE">
              <w:rPr>
                <w:rFonts w:ascii="Arial" w:hAnsi="Arial" w:cs="Arial"/>
              </w:rPr>
              <w:t xml:space="preserve"> </w:t>
            </w:r>
            <w:r w:rsidR="009E29CE" w:rsidRPr="009E29CE">
              <w:rPr>
                <w:rFonts w:ascii="Arial" w:hAnsi="Arial" w:cs="Arial"/>
              </w:rPr>
              <w:t>a subsidiar el transporte público llega a hogares en los</w:t>
            </w:r>
            <w:r w:rsidR="009E29CE">
              <w:rPr>
                <w:rFonts w:ascii="Arial" w:hAnsi="Arial" w:cs="Arial"/>
              </w:rPr>
              <w:t xml:space="preserve"> </w:t>
            </w:r>
            <w:r w:rsidR="009E29CE" w:rsidRPr="009E29CE">
              <w:rPr>
                <w:rFonts w:ascii="Arial" w:hAnsi="Arial" w:cs="Arial"/>
              </w:rPr>
              <w:t xml:space="preserve">deciles superiores de la distribución de ingreso, por lo que, aunque </w:t>
            </w:r>
            <w:r>
              <w:rPr>
                <w:rFonts w:ascii="Arial" w:hAnsi="Arial" w:cs="Arial"/>
              </w:rPr>
              <w:t>los costos son mayores</w:t>
            </w:r>
            <w:r w:rsidR="009E29CE" w:rsidRPr="009E29CE">
              <w:rPr>
                <w:rFonts w:ascii="Arial" w:hAnsi="Arial" w:cs="Arial"/>
              </w:rPr>
              <w:t>, su</w:t>
            </w:r>
            <w:r w:rsidR="009E29CE">
              <w:rPr>
                <w:rFonts w:ascii="Arial" w:hAnsi="Arial" w:cs="Arial"/>
              </w:rPr>
              <w:t xml:space="preserve"> </w:t>
            </w:r>
            <w:r w:rsidR="009E29CE" w:rsidRPr="009E29CE">
              <w:rPr>
                <w:rFonts w:ascii="Arial" w:hAnsi="Arial" w:cs="Arial"/>
              </w:rPr>
              <w:t xml:space="preserve">impacto es pequeño. </w:t>
            </w:r>
          </w:p>
        </w:tc>
      </w:tr>
      <w:tr w:rsidR="009102BF" w14:paraId="741ACEB9" w14:textId="77777777" w:rsidTr="009102BF">
        <w:tc>
          <w:tcPr>
            <w:tcW w:w="2943" w:type="dxa"/>
            <w:tcBorders>
              <w:top w:val="single" w:sz="4" w:space="0" w:color="auto"/>
              <w:left w:val="single" w:sz="4" w:space="0" w:color="auto"/>
              <w:bottom w:val="single" w:sz="4" w:space="0" w:color="auto"/>
              <w:right w:val="single" w:sz="4" w:space="0" w:color="auto"/>
            </w:tcBorders>
            <w:hideMark/>
          </w:tcPr>
          <w:p w14:paraId="278E2C92" w14:textId="77777777" w:rsidR="009102BF" w:rsidRDefault="009102BF" w:rsidP="00424EC9">
            <w:pPr>
              <w:spacing w:line="240" w:lineRule="auto"/>
              <w:rPr>
                <w:rFonts w:ascii="Arial" w:hAnsi="Arial" w:cs="Arial"/>
              </w:rPr>
            </w:pPr>
            <w:r>
              <w:rPr>
                <w:rFonts w:ascii="Arial" w:hAnsi="Arial" w:cs="Arial"/>
              </w:rPr>
              <w:t>Estrategia en la gestión recaudatoria:</w:t>
            </w:r>
          </w:p>
        </w:tc>
        <w:tc>
          <w:tcPr>
            <w:tcW w:w="6111" w:type="dxa"/>
            <w:gridSpan w:val="4"/>
            <w:tcBorders>
              <w:top w:val="single" w:sz="4" w:space="0" w:color="auto"/>
              <w:left w:val="single" w:sz="4" w:space="0" w:color="auto"/>
              <w:bottom w:val="single" w:sz="4" w:space="0" w:color="auto"/>
              <w:right w:val="single" w:sz="4" w:space="0" w:color="auto"/>
            </w:tcBorders>
            <w:hideMark/>
          </w:tcPr>
          <w:p w14:paraId="1450A01A" w14:textId="77777777" w:rsidR="009102BF" w:rsidRDefault="005A2A6E" w:rsidP="00950268">
            <w:pPr>
              <w:spacing w:line="240" w:lineRule="auto"/>
              <w:rPr>
                <w:rFonts w:ascii="Arial" w:hAnsi="Arial" w:cs="Arial"/>
              </w:rPr>
            </w:pPr>
            <w:r>
              <w:rPr>
                <w:rFonts w:ascii="Arial" w:hAnsi="Arial" w:cs="Arial"/>
              </w:rPr>
              <w:t xml:space="preserve">Se establecerá al momento de que se registre </w:t>
            </w:r>
            <w:r w:rsidR="00950268">
              <w:rPr>
                <w:rFonts w:ascii="Arial" w:hAnsi="Arial" w:cs="Arial"/>
              </w:rPr>
              <w:t>el pago en las cajas de la Tesorería Municipal</w:t>
            </w:r>
          </w:p>
        </w:tc>
      </w:tr>
      <w:tr w:rsidR="009102BF" w14:paraId="65D8D577" w14:textId="77777777" w:rsidTr="009102BF">
        <w:tc>
          <w:tcPr>
            <w:tcW w:w="2943" w:type="dxa"/>
            <w:tcBorders>
              <w:top w:val="single" w:sz="4" w:space="0" w:color="auto"/>
              <w:left w:val="single" w:sz="4" w:space="0" w:color="auto"/>
              <w:bottom w:val="single" w:sz="4" w:space="0" w:color="auto"/>
              <w:right w:val="single" w:sz="4" w:space="0" w:color="auto"/>
            </w:tcBorders>
          </w:tcPr>
          <w:p w14:paraId="437981C6" w14:textId="77777777" w:rsidR="009102BF" w:rsidRDefault="009102BF" w:rsidP="00424EC9">
            <w:pPr>
              <w:spacing w:line="240" w:lineRule="auto"/>
              <w:jc w:val="center"/>
              <w:rPr>
                <w:rFonts w:ascii="Arial" w:hAnsi="Arial" w:cs="Arial"/>
              </w:rPr>
            </w:pPr>
            <w:r>
              <w:rPr>
                <w:rFonts w:ascii="Arial" w:hAnsi="Arial" w:cs="Arial"/>
              </w:rPr>
              <w:t>Administración de la contribución:</w:t>
            </w:r>
          </w:p>
          <w:p w14:paraId="2774586E" w14:textId="77777777" w:rsidR="009102BF" w:rsidRDefault="009102BF" w:rsidP="00424EC9">
            <w:pPr>
              <w:spacing w:line="240" w:lineRule="auto"/>
              <w:rPr>
                <w:rFonts w:ascii="Arial" w:hAnsi="Arial" w:cs="Arial"/>
              </w:rPr>
            </w:pPr>
          </w:p>
        </w:tc>
        <w:tc>
          <w:tcPr>
            <w:tcW w:w="6111" w:type="dxa"/>
            <w:gridSpan w:val="4"/>
            <w:tcBorders>
              <w:top w:val="single" w:sz="4" w:space="0" w:color="auto"/>
              <w:left w:val="single" w:sz="4" w:space="0" w:color="auto"/>
              <w:bottom w:val="single" w:sz="4" w:space="0" w:color="auto"/>
              <w:right w:val="single" w:sz="4" w:space="0" w:color="auto"/>
            </w:tcBorders>
          </w:tcPr>
          <w:p w14:paraId="552775A3" w14:textId="1F28A2A3" w:rsidR="009102BF" w:rsidRDefault="009102BF" w:rsidP="008B32E7">
            <w:pPr>
              <w:spacing w:line="240" w:lineRule="auto"/>
              <w:jc w:val="both"/>
              <w:rPr>
                <w:rFonts w:ascii="Arial" w:hAnsi="Arial" w:cs="Arial"/>
              </w:rPr>
            </w:pPr>
            <w:r>
              <w:rPr>
                <w:rFonts w:ascii="Arial" w:hAnsi="Arial" w:cs="Arial"/>
              </w:rPr>
              <w:t xml:space="preserve">La recaudación forma parte del gasto corriente con que cuenta el municipio para la prestación de los servicios públicos a su cargo. </w:t>
            </w:r>
          </w:p>
        </w:tc>
      </w:tr>
      <w:tr w:rsidR="009102BF" w14:paraId="57426829" w14:textId="77777777" w:rsidTr="009102BF">
        <w:tc>
          <w:tcPr>
            <w:tcW w:w="2943" w:type="dxa"/>
            <w:tcBorders>
              <w:top w:val="single" w:sz="4" w:space="0" w:color="auto"/>
              <w:left w:val="single" w:sz="4" w:space="0" w:color="auto"/>
              <w:bottom w:val="single" w:sz="4" w:space="0" w:color="auto"/>
              <w:right w:val="single" w:sz="4" w:space="0" w:color="auto"/>
            </w:tcBorders>
          </w:tcPr>
          <w:p w14:paraId="4A821B9C" w14:textId="77777777" w:rsidR="009102BF" w:rsidRDefault="009102BF" w:rsidP="00424EC9">
            <w:pPr>
              <w:spacing w:line="240" w:lineRule="auto"/>
              <w:rPr>
                <w:rFonts w:ascii="Arial" w:hAnsi="Arial" w:cs="Arial"/>
              </w:rPr>
            </w:pPr>
            <w:r>
              <w:rPr>
                <w:rFonts w:ascii="Arial" w:hAnsi="Arial" w:cs="Arial"/>
              </w:rPr>
              <w:t>Argumentación:</w:t>
            </w:r>
          </w:p>
          <w:p w14:paraId="7C6A004B" w14:textId="77777777" w:rsidR="009102BF" w:rsidRDefault="009102BF" w:rsidP="00424EC9">
            <w:pPr>
              <w:spacing w:line="240" w:lineRule="auto"/>
              <w:rPr>
                <w:rFonts w:ascii="Arial" w:hAnsi="Arial" w:cs="Arial"/>
              </w:rPr>
            </w:pPr>
          </w:p>
          <w:p w14:paraId="099A282C" w14:textId="77777777" w:rsidR="009102BF" w:rsidRDefault="009102BF" w:rsidP="00424EC9">
            <w:pPr>
              <w:spacing w:line="240" w:lineRule="auto"/>
              <w:rPr>
                <w:rFonts w:ascii="Arial" w:hAnsi="Arial" w:cs="Arial"/>
              </w:rPr>
            </w:pPr>
          </w:p>
          <w:p w14:paraId="7A03DB40" w14:textId="77777777" w:rsidR="009102BF" w:rsidRDefault="009102BF" w:rsidP="00424EC9">
            <w:pPr>
              <w:spacing w:line="240" w:lineRule="auto"/>
              <w:jc w:val="both"/>
              <w:rPr>
                <w:rFonts w:ascii="Arial" w:hAnsi="Arial" w:cs="Arial"/>
              </w:rPr>
            </w:pPr>
            <w:r>
              <w:rPr>
                <w:rFonts w:ascii="Arial" w:hAnsi="Arial" w:cs="Arial"/>
              </w:rPr>
              <w:t>*Explicación pormenorizada del porque los estudios realizados demuestran la intención de la iniciativa, y como es que estos se encuentran apegados al marco jurídico.</w:t>
            </w:r>
          </w:p>
        </w:tc>
        <w:tc>
          <w:tcPr>
            <w:tcW w:w="6111" w:type="dxa"/>
            <w:gridSpan w:val="4"/>
            <w:tcBorders>
              <w:top w:val="single" w:sz="4" w:space="0" w:color="auto"/>
              <w:left w:val="single" w:sz="4" w:space="0" w:color="auto"/>
              <w:bottom w:val="single" w:sz="4" w:space="0" w:color="auto"/>
              <w:right w:val="single" w:sz="4" w:space="0" w:color="auto"/>
            </w:tcBorders>
          </w:tcPr>
          <w:p w14:paraId="00FF1A18" w14:textId="77777777" w:rsidR="009102BF" w:rsidRDefault="009102BF" w:rsidP="00AA7BB1">
            <w:pPr>
              <w:spacing w:line="240" w:lineRule="auto"/>
              <w:jc w:val="both"/>
              <w:rPr>
                <w:rFonts w:ascii="Arial" w:hAnsi="Arial" w:cs="Arial"/>
                <w:b/>
              </w:rPr>
            </w:pPr>
            <w:r>
              <w:rPr>
                <w:rFonts w:ascii="Arial" w:hAnsi="Arial" w:cs="Arial"/>
                <w:b/>
              </w:rPr>
              <w:t>Antecedentes:</w:t>
            </w:r>
          </w:p>
          <w:p w14:paraId="5598B74D" w14:textId="799BEDFF" w:rsidR="009102BF" w:rsidRDefault="005658AC" w:rsidP="00AA7BB1">
            <w:pPr>
              <w:spacing w:line="240" w:lineRule="auto"/>
              <w:jc w:val="both"/>
              <w:rPr>
                <w:rFonts w:ascii="Arial" w:hAnsi="Arial" w:cs="Arial"/>
              </w:rPr>
            </w:pPr>
            <w:r>
              <w:rPr>
                <w:rFonts w:ascii="Arial" w:hAnsi="Arial" w:cs="Arial"/>
              </w:rPr>
              <w:t>En Junio de 2018, se presentó un ajuste tarifario al Servicio Público de Transporte Urbano y Suburbano en ruta Fija, incrementando hasta un 40% de la tarifa que se encontraba vigente en aquel entonces, atendiendo la inflación anual desde su último ajuste tarifario (2010), estableciendo una utilidad</w:t>
            </w:r>
            <w:r w:rsidR="005A68AC">
              <w:rPr>
                <w:rFonts w:ascii="Arial" w:hAnsi="Arial" w:cs="Arial"/>
              </w:rPr>
              <w:t xml:space="preserve"> razonable</w:t>
            </w:r>
            <w:r>
              <w:rPr>
                <w:rFonts w:ascii="Arial" w:hAnsi="Arial" w:cs="Arial"/>
              </w:rPr>
              <w:t>, sin embargo el incremento anual a este concepto ha obedecido a un 4% anual, presentando una desigualdad entre el beneficio</w:t>
            </w:r>
            <w:r w:rsidR="005A68AC">
              <w:rPr>
                <w:rFonts w:ascii="Arial" w:hAnsi="Arial" w:cs="Arial"/>
              </w:rPr>
              <w:t xml:space="preserve"> de una tarifa aplicada por el sector transportistas contra el beneficio de un impuesto autorizado por el Gobierno Municipal de Guanajuato. </w:t>
            </w:r>
          </w:p>
          <w:p w14:paraId="5EBCE1BC" w14:textId="77777777" w:rsidR="009102BF" w:rsidRDefault="009102BF" w:rsidP="00AA7BB1">
            <w:pPr>
              <w:spacing w:line="240" w:lineRule="auto"/>
              <w:jc w:val="both"/>
              <w:rPr>
                <w:rFonts w:ascii="Arial" w:hAnsi="Arial" w:cs="Arial"/>
              </w:rPr>
            </w:pPr>
          </w:p>
          <w:p w14:paraId="3348A4ED" w14:textId="77777777" w:rsidR="009102BF" w:rsidRDefault="009102BF" w:rsidP="00AA7BB1">
            <w:pPr>
              <w:spacing w:line="240" w:lineRule="auto"/>
              <w:jc w:val="both"/>
              <w:rPr>
                <w:rFonts w:ascii="Arial" w:hAnsi="Arial" w:cs="Arial"/>
                <w:b/>
              </w:rPr>
            </w:pPr>
            <w:r>
              <w:rPr>
                <w:rFonts w:ascii="Arial" w:hAnsi="Arial" w:cs="Arial"/>
                <w:b/>
              </w:rPr>
              <w:t>Consideraciones que soportan el cambio:</w:t>
            </w:r>
          </w:p>
          <w:p w14:paraId="003B4736" w14:textId="27709C0C" w:rsidR="00185E74" w:rsidRDefault="00185E74" w:rsidP="00AA7BB1">
            <w:pPr>
              <w:spacing w:line="240" w:lineRule="auto"/>
              <w:jc w:val="both"/>
              <w:rPr>
                <w:rFonts w:ascii="Arial" w:hAnsi="Arial" w:cs="Arial"/>
              </w:rPr>
            </w:pPr>
            <w:r>
              <w:rPr>
                <w:rFonts w:ascii="Arial" w:hAnsi="Arial" w:cs="Arial"/>
              </w:rPr>
              <w:t>El a</w:t>
            </w:r>
            <w:r w:rsidRPr="006F3CBE">
              <w:rPr>
                <w:rFonts w:ascii="Arial" w:hAnsi="Arial" w:cs="Arial"/>
              </w:rPr>
              <w:t xml:space="preserve">nálisis del </w:t>
            </w:r>
            <w:r w:rsidRPr="006F3CBE">
              <w:rPr>
                <w:rFonts w:ascii="Arial" w:hAnsi="Arial" w:cs="Arial"/>
                <w:b/>
                <w:bCs/>
                <w:i/>
                <w:iCs/>
              </w:rPr>
              <w:t xml:space="preserve">Índice Nacional de Precios al Consumidor (INPC) </w:t>
            </w:r>
            <w:r w:rsidRPr="006F3CBE">
              <w:rPr>
                <w:rFonts w:ascii="Arial" w:hAnsi="Arial" w:cs="Arial"/>
              </w:rPr>
              <w:t xml:space="preserve">que muestra los costos promedio en el mercado, por el </w:t>
            </w:r>
            <w:r w:rsidRPr="006F3CBE">
              <w:rPr>
                <w:rFonts w:ascii="Arial" w:hAnsi="Arial" w:cs="Arial"/>
                <w:color w:val="222222"/>
                <w:shd w:val="clear" w:color="auto" w:fill="FFFFFF"/>
              </w:rPr>
              <w:t>Instituto Nacional de Estadística y Geografía (</w:t>
            </w:r>
            <w:r w:rsidRPr="006F3CBE">
              <w:rPr>
                <w:rFonts w:ascii="Arial" w:hAnsi="Arial" w:cs="Arial"/>
                <w:b/>
                <w:bCs/>
                <w:color w:val="222222"/>
                <w:shd w:val="clear" w:color="auto" w:fill="FFFFFF"/>
              </w:rPr>
              <w:t xml:space="preserve">INEGI), </w:t>
            </w:r>
            <w:hyperlink r:id="rId9" w:history="1">
              <w:r w:rsidRPr="006F3CBE">
                <w:rPr>
                  <w:rStyle w:val="Hipervnculo"/>
                  <w:rFonts w:ascii="Arial" w:hAnsi="Arial" w:cs="Arial"/>
                </w:rPr>
                <w:t>https://www.inegi.org.mx/app/preciospromedio/</w:t>
              </w:r>
            </w:hyperlink>
            <w:r w:rsidRPr="006F3CBE">
              <w:rPr>
                <w:rFonts w:ascii="Arial" w:hAnsi="Arial" w:cs="Arial"/>
              </w:rPr>
              <w:t xml:space="preserve">, el cual revela los precios promedio de los productos </w:t>
            </w:r>
            <w:r>
              <w:rPr>
                <w:rFonts w:ascii="Arial" w:hAnsi="Arial" w:cs="Arial"/>
              </w:rPr>
              <w:t xml:space="preserve">utilizados para realizar esta actividad, así como los gastos de operación que realiza la administración </w:t>
            </w:r>
            <w:proofErr w:type="spellStart"/>
            <w:r>
              <w:rPr>
                <w:rFonts w:ascii="Arial" w:hAnsi="Arial" w:cs="Arial"/>
              </w:rPr>
              <w:t>publica</w:t>
            </w:r>
            <w:proofErr w:type="spellEnd"/>
            <w:r>
              <w:rPr>
                <w:rFonts w:ascii="Arial" w:hAnsi="Arial" w:cs="Arial"/>
              </w:rPr>
              <w:t xml:space="preserve"> ya sea como recursos humanos y recursos materiales, sin dejar de mencionar la depreciación que estos presentan.</w:t>
            </w:r>
          </w:p>
          <w:p w14:paraId="41BF9BE5" w14:textId="77777777" w:rsidR="00185E74" w:rsidRDefault="00185E74" w:rsidP="00AA7BB1">
            <w:pPr>
              <w:spacing w:line="240" w:lineRule="auto"/>
              <w:jc w:val="both"/>
              <w:rPr>
                <w:rFonts w:ascii="Arial" w:hAnsi="Arial" w:cs="Arial"/>
              </w:rPr>
            </w:pPr>
          </w:p>
          <w:p w14:paraId="1EFAD41B" w14:textId="77777777" w:rsidR="009102BF" w:rsidRDefault="009102BF" w:rsidP="00AA7BB1">
            <w:pPr>
              <w:spacing w:line="240" w:lineRule="auto"/>
              <w:jc w:val="both"/>
              <w:rPr>
                <w:rFonts w:ascii="Arial" w:hAnsi="Arial" w:cs="Arial"/>
                <w:b/>
              </w:rPr>
            </w:pPr>
            <w:r>
              <w:rPr>
                <w:rFonts w:ascii="Arial" w:hAnsi="Arial" w:cs="Arial"/>
                <w:b/>
              </w:rPr>
              <w:t>Propuesta de modificación:</w:t>
            </w:r>
          </w:p>
          <w:p w14:paraId="17A7C097" w14:textId="4A03A163" w:rsidR="009102BF" w:rsidRDefault="001C737B" w:rsidP="00AA7BB1">
            <w:pPr>
              <w:spacing w:line="240" w:lineRule="auto"/>
              <w:jc w:val="both"/>
              <w:rPr>
                <w:rFonts w:ascii="Arial" w:hAnsi="Arial" w:cs="Arial"/>
              </w:rPr>
            </w:pPr>
            <w:r>
              <w:rPr>
                <w:rFonts w:ascii="Arial" w:hAnsi="Arial" w:cs="Arial"/>
              </w:rPr>
              <w:t xml:space="preserve">Se propone </w:t>
            </w:r>
            <w:r w:rsidR="00D572EF">
              <w:rPr>
                <w:rFonts w:ascii="Arial" w:hAnsi="Arial" w:cs="Arial"/>
              </w:rPr>
              <w:t>que el incremento</w:t>
            </w:r>
            <w:r w:rsidR="00ED0E9A">
              <w:rPr>
                <w:rFonts w:ascii="Arial" w:hAnsi="Arial" w:cs="Arial"/>
              </w:rPr>
              <w:t xml:space="preserve"> con la finalidad de establecer una cuota de $</w:t>
            </w:r>
            <w:r w:rsidR="00766A1F">
              <w:rPr>
                <w:rFonts w:ascii="Arial" w:hAnsi="Arial" w:cs="Arial"/>
              </w:rPr>
              <w:t>5,000.00</w:t>
            </w:r>
            <w:r>
              <w:rPr>
                <w:rFonts w:ascii="Arial" w:hAnsi="Arial" w:cs="Arial"/>
              </w:rPr>
              <w:t>.</w:t>
            </w:r>
          </w:p>
          <w:p w14:paraId="19941DDA" w14:textId="46443182" w:rsidR="009102BF" w:rsidRDefault="009102BF" w:rsidP="00AA7BB1">
            <w:pPr>
              <w:spacing w:line="240" w:lineRule="auto"/>
              <w:jc w:val="both"/>
              <w:rPr>
                <w:rFonts w:ascii="Arial" w:hAnsi="Arial" w:cs="Arial"/>
              </w:rPr>
            </w:pPr>
            <w:bookmarkStart w:id="0" w:name="_GoBack"/>
            <w:bookmarkEnd w:id="0"/>
          </w:p>
          <w:p w14:paraId="6249E220" w14:textId="77777777" w:rsidR="009102BF" w:rsidRDefault="009102BF" w:rsidP="00AA7BB1">
            <w:pPr>
              <w:spacing w:line="240" w:lineRule="auto"/>
              <w:jc w:val="both"/>
              <w:rPr>
                <w:rFonts w:ascii="Arial" w:hAnsi="Arial" w:cs="Arial"/>
                <w:b/>
              </w:rPr>
            </w:pPr>
            <w:r>
              <w:rPr>
                <w:rFonts w:ascii="Arial" w:hAnsi="Arial" w:cs="Arial"/>
                <w:b/>
              </w:rPr>
              <w:t>Conclusiones:</w:t>
            </w:r>
          </w:p>
          <w:p w14:paraId="1BE264D1" w14:textId="335480B2" w:rsidR="009102BF" w:rsidRDefault="002E4002" w:rsidP="00185E74">
            <w:pPr>
              <w:spacing w:line="240" w:lineRule="auto"/>
              <w:jc w:val="both"/>
              <w:rPr>
                <w:rFonts w:ascii="Arial" w:hAnsi="Arial" w:cs="Arial"/>
              </w:rPr>
            </w:pPr>
            <w:r>
              <w:rPr>
                <w:rFonts w:ascii="Arial" w:hAnsi="Arial" w:cs="Arial"/>
              </w:rPr>
              <w:t xml:space="preserve">El incremento a </w:t>
            </w:r>
            <w:r w:rsidR="00185E74">
              <w:rPr>
                <w:rFonts w:ascii="Arial" w:hAnsi="Arial" w:cs="Arial"/>
              </w:rPr>
              <w:t xml:space="preserve">la </w:t>
            </w:r>
            <w:r>
              <w:rPr>
                <w:rFonts w:ascii="Arial" w:hAnsi="Arial" w:cs="Arial"/>
              </w:rPr>
              <w:t xml:space="preserve">tarifa por el concepto de </w:t>
            </w:r>
            <w:r w:rsidRPr="002E4002">
              <w:rPr>
                <w:rFonts w:ascii="Arial" w:hAnsi="Arial" w:cs="Arial"/>
                <w:b/>
                <w:bCs/>
                <w:i/>
                <w:iCs/>
              </w:rPr>
              <w:t>Autorización por prórroga para uso de unidades en buen estado,</w:t>
            </w:r>
            <w:r w:rsidRPr="002E4002">
              <w:rPr>
                <w:rFonts w:ascii="Arial" w:hAnsi="Arial" w:cs="Arial"/>
              </w:rPr>
              <w:t xml:space="preserve"> </w:t>
            </w:r>
            <w:r w:rsidRPr="002E4002">
              <w:rPr>
                <w:rFonts w:ascii="Arial" w:hAnsi="Arial" w:cs="Arial"/>
                <w:b/>
                <w:bCs/>
                <w:i/>
                <w:iCs/>
              </w:rPr>
              <w:t>por un año</w:t>
            </w:r>
            <w:r>
              <w:rPr>
                <w:rFonts w:ascii="Arial" w:hAnsi="Arial" w:cs="Arial"/>
                <w:b/>
                <w:bCs/>
                <w:i/>
                <w:iCs/>
              </w:rPr>
              <w:t xml:space="preserve">, </w:t>
            </w:r>
            <w:r>
              <w:rPr>
                <w:rFonts w:ascii="Arial" w:hAnsi="Arial" w:cs="Arial"/>
              </w:rPr>
              <w:t xml:space="preserve">no representa un impacto </w:t>
            </w:r>
            <w:r w:rsidRPr="009E29CE">
              <w:rPr>
                <w:rFonts w:ascii="Arial" w:hAnsi="Arial" w:cs="Arial"/>
              </w:rPr>
              <w:t>social</w:t>
            </w:r>
            <w:r w:rsidR="00185E74">
              <w:rPr>
                <w:rFonts w:ascii="Arial" w:hAnsi="Arial" w:cs="Arial"/>
              </w:rPr>
              <w:t xml:space="preserve"> elevado</w:t>
            </w:r>
            <w:r w:rsidRPr="009E29CE">
              <w:rPr>
                <w:rFonts w:ascii="Arial" w:hAnsi="Arial" w:cs="Arial"/>
              </w:rPr>
              <w:t>, en general, se concentra mayormente en los hogares con menores ingresos,</w:t>
            </w:r>
            <w:r>
              <w:rPr>
                <w:rFonts w:ascii="Arial" w:hAnsi="Arial" w:cs="Arial"/>
              </w:rPr>
              <w:t xml:space="preserve"> </w:t>
            </w:r>
            <w:r w:rsidRPr="009E29CE">
              <w:rPr>
                <w:rFonts w:ascii="Arial" w:hAnsi="Arial" w:cs="Arial"/>
              </w:rPr>
              <w:t>pero que, dado que el presupuesto dedicado a ellos es pequeño, su efecto en la desigualdad y la</w:t>
            </w:r>
            <w:r>
              <w:rPr>
                <w:rFonts w:ascii="Arial" w:hAnsi="Arial" w:cs="Arial"/>
              </w:rPr>
              <w:t xml:space="preserve"> </w:t>
            </w:r>
            <w:r w:rsidRPr="009E29CE">
              <w:rPr>
                <w:rFonts w:ascii="Arial" w:hAnsi="Arial" w:cs="Arial"/>
              </w:rPr>
              <w:t>pobreza es limitado</w:t>
            </w:r>
            <w:r w:rsidR="00185E74">
              <w:rPr>
                <w:rFonts w:ascii="Arial" w:hAnsi="Arial" w:cs="Arial"/>
              </w:rPr>
              <w:t xml:space="preserve">, ya que es el mismo Ayuntamiento de Guanajuato quien es la entidad regulatoria en las tarifas aplicadas al transporte público urbano y suburbano, siempre ha </w:t>
            </w:r>
            <w:r w:rsidR="005160C2">
              <w:rPr>
                <w:rFonts w:ascii="Arial" w:hAnsi="Arial" w:cs="Arial"/>
              </w:rPr>
              <w:t>observado</w:t>
            </w:r>
            <w:r w:rsidR="00185E74">
              <w:rPr>
                <w:rFonts w:ascii="Arial" w:hAnsi="Arial" w:cs="Arial"/>
              </w:rPr>
              <w:t xml:space="preserve"> la situación económica del entorno económico y la misma sociedad Guanajuatense, favoreciendo así a los usuarios de este servicio.</w:t>
            </w:r>
          </w:p>
        </w:tc>
      </w:tr>
    </w:tbl>
    <w:p w14:paraId="29A2DC9D" w14:textId="77777777" w:rsidR="009102BF" w:rsidRDefault="009102BF" w:rsidP="00424EC9">
      <w:pPr>
        <w:spacing w:after="0" w:line="240" w:lineRule="auto"/>
        <w:rPr>
          <w:rFonts w:ascii="Arial" w:hAnsi="Arial" w:cs="Arial"/>
          <w:sz w:val="36"/>
          <w:szCs w:val="36"/>
        </w:rPr>
      </w:pPr>
    </w:p>
    <w:p w14:paraId="67F64634" w14:textId="77777777" w:rsidR="007F5AD1" w:rsidRDefault="007F5AD1" w:rsidP="00424EC9">
      <w:pPr>
        <w:spacing w:after="0" w:line="240" w:lineRule="auto"/>
        <w:ind w:firstLine="708"/>
        <w:rPr>
          <w:rFonts w:ascii="Arial" w:hAnsi="Arial" w:cs="Arial"/>
          <w:sz w:val="36"/>
          <w:szCs w:val="36"/>
        </w:rPr>
      </w:pPr>
    </w:p>
    <w:sectPr w:rsidR="007F5AD1" w:rsidSect="00091010">
      <w:headerReference w:type="default" r:id="rId10"/>
      <w:footerReference w:type="default" r:id="rId11"/>
      <w:type w:val="continuous"/>
      <w:pgSz w:w="12240" w:h="15840"/>
      <w:pgMar w:top="1942" w:right="1701" w:bottom="1417"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0EFFEDB" w14:textId="77777777" w:rsidR="001606E3" w:rsidRDefault="001606E3" w:rsidP="00826AB6">
      <w:pPr>
        <w:spacing w:after="0" w:line="240" w:lineRule="auto"/>
      </w:pPr>
      <w:r>
        <w:separator/>
      </w:r>
    </w:p>
  </w:endnote>
  <w:endnote w:type="continuationSeparator" w:id="0">
    <w:p w14:paraId="39E522F5" w14:textId="77777777" w:rsidR="001606E3" w:rsidRDefault="001606E3" w:rsidP="00826AB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rinda">
    <w:altName w:val="Segoe UI"/>
    <w:panose1 w:val="020B0502040204020203"/>
    <w:charset w:val="01"/>
    <w:family w:val="roman"/>
    <w:notTrueType/>
    <w:pitch w:val="variable"/>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71DEB2" w14:textId="77777777" w:rsidR="00067889" w:rsidRPr="006F64A9" w:rsidRDefault="006F64A9">
    <w:pPr>
      <w:pStyle w:val="Piedepgina"/>
      <w:jc w:val="right"/>
      <w:rPr>
        <w:i/>
        <w:color w:val="404040" w:themeColor="text1" w:themeTint="BF"/>
      </w:rPr>
    </w:pPr>
    <w:r>
      <w:rPr>
        <w:i/>
        <w:color w:val="404040" w:themeColor="text1" w:themeTint="BF"/>
      </w:rPr>
      <w:t>Dirección de Movilidad y Transporte Municipal</w:t>
    </w:r>
  </w:p>
  <w:p w14:paraId="6E79168C" w14:textId="77777777" w:rsidR="00067889" w:rsidRDefault="00067889">
    <w:pPr>
      <w:pStyle w:val="Piedep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3F71ADD" w14:textId="77777777" w:rsidR="001606E3" w:rsidRDefault="001606E3" w:rsidP="00826AB6">
      <w:pPr>
        <w:spacing w:after="0" w:line="240" w:lineRule="auto"/>
      </w:pPr>
      <w:r>
        <w:separator/>
      </w:r>
    </w:p>
  </w:footnote>
  <w:footnote w:type="continuationSeparator" w:id="0">
    <w:p w14:paraId="0FB5D4B2" w14:textId="77777777" w:rsidR="001606E3" w:rsidRDefault="001606E3" w:rsidP="00826AB6">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41F20A6" w14:textId="77777777" w:rsidR="006F64A9" w:rsidRPr="006F64A9" w:rsidRDefault="006F64A9" w:rsidP="006F64A9">
    <w:pPr>
      <w:pStyle w:val="Encabezado"/>
      <w:jc w:val="right"/>
      <w:rPr>
        <w:color w:val="595959" w:themeColor="text1" w:themeTint="A6"/>
        <w:sz w:val="20"/>
      </w:rPr>
    </w:pPr>
    <w:r w:rsidRPr="006F64A9">
      <w:rPr>
        <w:b/>
        <w:color w:val="595959" w:themeColor="text1" w:themeTint="A6"/>
        <w:sz w:val="48"/>
      </w:rPr>
      <w:t xml:space="preserve">Servicio </w:t>
    </w:r>
    <w:r>
      <w:rPr>
        <w:b/>
        <w:color w:val="595959" w:themeColor="text1" w:themeTint="A6"/>
        <w:sz w:val="48"/>
      </w:rPr>
      <w:t>Público de Transporte de P</w:t>
    </w:r>
    <w:r w:rsidRPr="006F64A9">
      <w:rPr>
        <w:b/>
        <w:color w:val="595959" w:themeColor="text1" w:themeTint="A6"/>
        <w:sz w:val="48"/>
      </w:rPr>
      <w:t xml:space="preserve">ersonas </w:t>
    </w:r>
    <w:r>
      <w:rPr>
        <w:b/>
        <w:color w:val="595959" w:themeColor="text1" w:themeTint="A6"/>
        <w:sz w:val="48"/>
      </w:rPr>
      <w:t>Urbano y Suburbano en ruta F</w:t>
    </w:r>
    <w:r w:rsidRPr="006F64A9">
      <w:rPr>
        <w:b/>
        <w:color w:val="595959" w:themeColor="text1" w:themeTint="A6"/>
        <w:sz w:val="48"/>
      </w:rPr>
      <w:t>ija</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D7F3931"/>
    <w:multiLevelType w:val="hybridMultilevel"/>
    <w:tmpl w:val="59E66410"/>
    <w:lvl w:ilvl="0" w:tplc="39222630">
      <w:start w:val="8"/>
      <w:numFmt w:val="bullet"/>
      <w:lvlText w:val="-"/>
      <w:lvlJc w:val="left"/>
      <w:pPr>
        <w:ind w:left="720" w:hanging="360"/>
      </w:pPr>
      <w:rPr>
        <w:rFonts w:ascii="Arial" w:eastAsiaTheme="minorHAnsi" w:hAnsi="Arial" w:cs="Arial" w:hint="default"/>
      </w:rPr>
    </w:lvl>
    <w:lvl w:ilvl="1" w:tplc="080A0003" w:tentative="1">
      <w:start w:val="1"/>
      <w:numFmt w:val="bullet"/>
      <w:lvlText w:val="o"/>
      <w:lvlJc w:val="left"/>
      <w:pPr>
        <w:ind w:left="1440" w:hanging="360"/>
      </w:pPr>
      <w:rPr>
        <w:rFonts w:ascii="Courier New" w:hAnsi="Courier New" w:cs="Courier New" w:hint="default"/>
      </w:rPr>
    </w:lvl>
    <w:lvl w:ilvl="2" w:tplc="080A0005" w:tentative="1">
      <w:start w:val="1"/>
      <w:numFmt w:val="bullet"/>
      <w:lvlText w:val=""/>
      <w:lvlJc w:val="left"/>
      <w:pPr>
        <w:ind w:left="2160" w:hanging="360"/>
      </w:pPr>
      <w:rPr>
        <w:rFonts w:ascii="Wingdings" w:hAnsi="Wingdings" w:hint="default"/>
      </w:rPr>
    </w:lvl>
    <w:lvl w:ilvl="3" w:tplc="080A0001" w:tentative="1">
      <w:start w:val="1"/>
      <w:numFmt w:val="bullet"/>
      <w:lvlText w:val=""/>
      <w:lvlJc w:val="left"/>
      <w:pPr>
        <w:ind w:left="2880" w:hanging="360"/>
      </w:pPr>
      <w:rPr>
        <w:rFonts w:ascii="Symbol" w:hAnsi="Symbol" w:hint="default"/>
      </w:rPr>
    </w:lvl>
    <w:lvl w:ilvl="4" w:tplc="080A0003" w:tentative="1">
      <w:start w:val="1"/>
      <w:numFmt w:val="bullet"/>
      <w:lvlText w:val="o"/>
      <w:lvlJc w:val="left"/>
      <w:pPr>
        <w:ind w:left="3600" w:hanging="360"/>
      </w:pPr>
      <w:rPr>
        <w:rFonts w:ascii="Courier New" w:hAnsi="Courier New" w:cs="Courier New" w:hint="default"/>
      </w:rPr>
    </w:lvl>
    <w:lvl w:ilvl="5" w:tplc="080A0005" w:tentative="1">
      <w:start w:val="1"/>
      <w:numFmt w:val="bullet"/>
      <w:lvlText w:val=""/>
      <w:lvlJc w:val="left"/>
      <w:pPr>
        <w:ind w:left="4320" w:hanging="360"/>
      </w:pPr>
      <w:rPr>
        <w:rFonts w:ascii="Wingdings" w:hAnsi="Wingdings" w:hint="default"/>
      </w:rPr>
    </w:lvl>
    <w:lvl w:ilvl="6" w:tplc="080A0001" w:tentative="1">
      <w:start w:val="1"/>
      <w:numFmt w:val="bullet"/>
      <w:lvlText w:val=""/>
      <w:lvlJc w:val="left"/>
      <w:pPr>
        <w:ind w:left="5040" w:hanging="360"/>
      </w:pPr>
      <w:rPr>
        <w:rFonts w:ascii="Symbol" w:hAnsi="Symbol" w:hint="default"/>
      </w:rPr>
    </w:lvl>
    <w:lvl w:ilvl="7" w:tplc="080A0003" w:tentative="1">
      <w:start w:val="1"/>
      <w:numFmt w:val="bullet"/>
      <w:lvlText w:val="o"/>
      <w:lvlJc w:val="left"/>
      <w:pPr>
        <w:ind w:left="5760" w:hanging="360"/>
      </w:pPr>
      <w:rPr>
        <w:rFonts w:ascii="Courier New" w:hAnsi="Courier New" w:cs="Courier New" w:hint="default"/>
      </w:rPr>
    </w:lvl>
    <w:lvl w:ilvl="8" w:tplc="080A0005" w:tentative="1">
      <w:start w:val="1"/>
      <w:numFmt w:val="bullet"/>
      <w:lvlText w:val=""/>
      <w:lvlJc w:val="left"/>
      <w:pPr>
        <w:ind w:left="6480" w:hanging="360"/>
      </w:pPr>
      <w:rPr>
        <w:rFonts w:ascii="Wingdings" w:hAnsi="Wingdings" w:hint="default"/>
      </w:rPr>
    </w:lvl>
  </w:abstractNum>
  <w:abstractNum w:abstractNumId="1" w15:restartNumberingAfterBreak="0">
    <w:nsid w:val="79E34D80"/>
    <w:multiLevelType w:val="hybridMultilevel"/>
    <w:tmpl w:val="F7FACE4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5357"/>
    <w:rsid w:val="00006712"/>
    <w:rsid w:val="00007643"/>
    <w:rsid w:val="0001785F"/>
    <w:rsid w:val="00046624"/>
    <w:rsid w:val="00067889"/>
    <w:rsid w:val="00077660"/>
    <w:rsid w:val="00081F05"/>
    <w:rsid w:val="00085038"/>
    <w:rsid w:val="00091010"/>
    <w:rsid w:val="00091C4E"/>
    <w:rsid w:val="000A084B"/>
    <w:rsid w:val="000A3FCE"/>
    <w:rsid w:val="000B727B"/>
    <w:rsid w:val="000D4A7B"/>
    <w:rsid w:val="000E1DA5"/>
    <w:rsid w:val="000E3B32"/>
    <w:rsid w:val="000E6F98"/>
    <w:rsid w:val="00106655"/>
    <w:rsid w:val="0011204A"/>
    <w:rsid w:val="00116544"/>
    <w:rsid w:val="00116764"/>
    <w:rsid w:val="001532D0"/>
    <w:rsid w:val="00154F90"/>
    <w:rsid w:val="001606E3"/>
    <w:rsid w:val="00173C8C"/>
    <w:rsid w:val="00185E74"/>
    <w:rsid w:val="001941CC"/>
    <w:rsid w:val="001A0A77"/>
    <w:rsid w:val="001A1DDA"/>
    <w:rsid w:val="001A24A9"/>
    <w:rsid w:val="001C737B"/>
    <w:rsid w:val="001D7A01"/>
    <w:rsid w:val="001E0130"/>
    <w:rsid w:val="001E1117"/>
    <w:rsid w:val="001E4A1B"/>
    <w:rsid w:val="001E6A73"/>
    <w:rsid w:val="001F5268"/>
    <w:rsid w:val="00200981"/>
    <w:rsid w:val="00213143"/>
    <w:rsid w:val="00216808"/>
    <w:rsid w:val="002459E4"/>
    <w:rsid w:val="002A1CC6"/>
    <w:rsid w:val="002B2D7A"/>
    <w:rsid w:val="002B4B62"/>
    <w:rsid w:val="002D0A9A"/>
    <w:rsid w:val="002E4002"/>
    <w:rsid w:val="002E41E1"/>
    <w:rsid w:val="002F087A"/>
    <w:rsid w:val="003118BE"/>
    <w:rsid w:val="0033577E"/>
    <w:rsid w:val="00336298"/>
    <w:rsid w:val="00346990"/>
    <w:rsid w:val="003638E7"/>
    <w:rsid w:val="0037179E"/>
    <w:rsid w:val="00396DF8"/>
    <w:rsid w:val="003B636D"/>
    <w:rsid w:val="003D5A8C"/>
    <w:rsid w:val="003E7C71"/>
    <w:rsid w:val="003F273A"/>
    <w:rsid w:val="003F3EBA"/>
    <w:rsid w:val="00402299"/>
    <w:rsid w:val="00411570"/>
    <w:rsid w:val="00416BAD"/>
    <w:rsid w:val="00423B5B"/>
    <w:rsid w:val="00424EC9"/>
    <w:rsid w:val="00424EFA"/>
    <w:rsid w:val="00436953"/>
    <w:rsid w:val="00456736"/>
    <w:rsid w:val="004907B0"/>
    <w:rsid w:val="00497B19"/>
    <w:rsid w:val="004B711E"/>
    <w:rsid w:val="004C2494"/>
    <w:rsid w:val="004C583F"/>
    <w:rsid w:val="004E4291"/>
    <w:rsid w:val="004F2D88"/>
    <w:rsid w:val="005026D6"/>
    <w:rsid w:val="005160C2"/>
    <w:rsid w:val="00560B42"/>
    <w:rsid w:val="00561FE7"/>
    <w:rsid w:val="00563833"/>
    <w:rsid w:val="00564B3E"/>
    <w:rsid w:val="005658AC"/>
    <w:rsid w:val="0056593E"/>
    <w:rsid w:val="005A0D87"/>
    <w:rsid w:val="005A288A"/>
    <w:rsid w:val="005A2A6E"/>
    <w:rsid w:val="005A68AC"/>
    <w:rsid w:val="005B2C65"/>
    <w:rsid w:val="005B45CC"/>
    <w:rsid w:val="005B69F4"/>
    <w:rsid w:val="005C4D48"/>
    <w:rsid w:val="005C6579"/>
    <w:rsid w:val="005D06CA"/>
    <w:rsid w:val="005D0E5C"/>
    <w:rsid w:val="005E1FAC"/>
    <w:rsid w:val="005F5BCA"/>
    <w:rsid w:val="00606564"/>
    <w:rsid w:val="00606F44"/>
    <w:rsid w:val="00625C9D"/>
    <w:rsid w:val="00644501"/>
    <w:rsid w:val="0064671A"/>
    <w:rsid w:val="00656D8A"/>
    <w:rsid w:val="00667449"/>
    <w:rsid w:val="006718E2"/>
    <w:rsid w:val="006A1695"/>
    <w:rsid w:val="006B552D"/>
    <w:rsid w:val="006C2354"/>
    <w:rsid w:val="006F3CBE"/>
    <w:rsid w:val="006F64A9"/>
    <w:rsid w:val="0070120F"/>
    <w:rsid w:val="007059F2"/>
    <w:rsid w:val="007220D3"/>
    <w:rsid w:val="007222CB"/>
    <w:rsid w:val="007259BD"/>
    <w:rsid w:val="00747492"/>
    <w:rsid w:val="00752AEB"/>
    <w:rsid w:val="00753C27"/>
    <w:rsid w:val="00761333"/>
    <w:rsid w:val="00764BBE"/>
    <w:rsid w:val="00766A1F"/>
    <w:rsid w:val="00793203"/>
    <w:rsid w:val="007B5242"/>
    <w:rsid w:val="007C0314"/>
    <w:rsid w:val="007C157D"/>
    <w:rsid w:val="007C33D7"/>
    <w:rsid w:val="007C3603"/>
    <w:rsid w:val="007D0E96"/>
    <w:rsid w:val="007D70C5"/>
    <w:rsid w:val="007E01B3"/>
    <w:rsid w:val="007E654F"/>
    <w:rsid w:val="007F5AD1"/>
    <w:rsid w:val="008062B7"/>
    <w:rsid w:val="00825813"/>
    <w:rsid w:val="00826AB6"/>
    <w:rsid w:val="008542B3"/>
    <w:rsid w:val="008729C4"/>
    <w:rsid w:val="00875410"/>
    <w:rsid w:val="00876399"/>
    <w:rsid w:val="008764A0"/>
    <w:rsid w:val="008825E5"/>
    <w:rsid w:val="00884F45"/>
    <w:rsid w:val="008A304D"/>
    <w:rsid w:val="008A3DFC"/>
    <w:rsid w:val="008B32E7"/>
    <w:rsid w:val="008C14CE"/>
    <w:rsid w:val="008C5929"/>
    <w:rsid w:val="008D59A8"/>
    <w:rsid w:val="008F5D3C"/>
    <w:rsid w:val="00901BE9"/>
    <w:rsid w:val="00905288"/>
    <w:rsid w:val="009102BF"/>
    <w:rsid w:val="00912B87"/>
    <w:rsid w:val="00917DD5"/>
    <w:rsid w:val="009257FD"/>
    <w:rsid w:val="00926F6A"/>
    <w:rsid w:val="0094367A"/>
    <w:rsid w:val="0094497C"/>
    <w:rsid w:val="00950268"/>
    <w:rsid w:val="009524E4"/>
    <w:rsid w:val="0095630F"/>
    <w:rsid w:val="00963CD6"/>
    <w:rsid w:val="00986F72"/>
    <w:rsid w:val="009A2D8C"/>
    <w:rsid w:val="009B61A4"/>
    <w:rsid w:val="009B76DD"/>
    <w:rsid w:val="009B7937"/>
    <w:rsid w:val="009E0078"/>
    <w:rsid w:val="009E29CE"/>
    <w:rsid w:val="009E5039"/>
    <w:rsid w:val="009F127A"/>
    <w:rsid w:val="00A26D71"/>
    <w:rsid w:val="00A46674"/>
    <w:rsid w:val="00A47819"/>
    <w:rsid w:val="00A71BA4"/>
    <w:rsid w:val="00A81978"/>
    <w:rsid w:val="00A85525"/>
    <w:rsid w:val="00A85EFE"/>
    <w:rsid w:val="00A86D99"/>
    <w:rsid w:val="00AA4176"/>
    <w:rsid w:val="00AA7BB1"/>
    <w:rsid w:val="00AB3A7E"/>
    <w:rsid w:val="00AB4E48"/>
    <w:rsid w:val="00AB558C"/>
    <w:rsid w:val="00AB7FCA"/>
    <w:rsid w:val="00AC029A"/>
    <w:rsid w:val="00AD7C11"/>
    <w:rsid w:val="00AF7C22"/>
    <w:rsid w:val="00B07B15"/>
    <w:rsid w:val="00B26772"/>
    <w:rsid w:val="00B37A7A"/>
    <w:rsid w:val="00B4786B"/>
    <w:rsid w:val="00B52F1C"/>
    <w:rsid w:val="00B5525B"/>
    <w:rsid w:val="00B62E50"/>
    <w:rsid w:val="00B674E0"/>
    <w:rsid w:val="00B85611"/>
    <w:rsid w:val="00B92645"/>
    <w:rsid w:val="00B941B4"/>
    <w:rsid w:val="00BA57ED"/>
    <w:rsid w:val="00BA79A5"/>
    <w:rsid w:val="00BB5357"/>
    <w:rsid w:val="00BC196A"/>
    <w:rsid w:val="00BD188E"/>
    <w:rsid w:val="00BE1952"/>
    <w:rsid w:val="00BE2F10"/>
    <w:rsid w:val="00BE382B"/>
    <w:rsid w:val="00BF1D8F"/>
    <w:rsid w:val="00BF461D"/>
    <w:rsid w:val="00C16194"/>
    <w:rsid w:val="00C31B79"/>
    <w:rsid w:val="00C63824"/>
    <w:rsid w:val="00C66FE2"/>
    <w:rsid w:val="00C830ED"/>
    <w:rsid w:val="00C85F68"/>
    <w:rsid w:val="00CB69B6"/>
    <w:rsid w:val="00CC63FC"/>
    <w:rsid w:val="00CD584C"/>
    <w:rsid w:val="00CE3F11"/>
    <w:rsid w:val="00CE7AEC"/>
    <w:rsid w:val="00D2319B"/>
    <w:rsid w:val="00D572EF"/>
    <w:rsid w:val="00D60795"/>
    <w:rsid w:val="00D64BCB"/>
    <w:rsid w:val="00D8178B"/>
    <w:rsid w:val="00D93013"/>
    <w:rsid w:val="00DA0BD4"/>
    <w:rsid w:val="00DA5FAB"/>
    <w:rsid w:val="00DE3011"/>
    <w:rsid w:val="00E054F3"/>
    <w:rsid w:val="00E06368"/>
    <w:rsid w:val="00E177CC"/>
    <w:rsid w:val="00E24206"/>
    <w:rsid w:val="00E3289D"/>
    <w:rsid w:val="00E449A4"/>
    <w:rsid w:val="00E52270"/>
    <w:rsid w:val="00E56533"/>
    <w:rsid w:val="00E949FE"/>
    <w:rsid w:val="00EA3A58"/>
    <w:rsid w:val="00EA3E6C"/>
    <w:rsid w:val="00EB0434"/>
    <w:rsid w:val="00EB7EC1"/>
    <w:rsid w:val="00ED0E9A"/>
    <w:rsid w:val="00ED28DF"/>
    <w:rsid w:val="00ED2FFA"/>
    <w:rsid w:val="00ED6ED0"/>
    <w:rsid w:val="00EE65A4"/>
    <w:rsid w:val="00EF3768"/>
    <w:rsid w:val="00EF7496"/>
    <w:rsid w:val="00F12C71"/>
    <w:rsid w:val="00F202B1"/>
    <w:rsid w:val="00F261AA"/>
    <w:rsid w:val="00F3359F"/>
    <w:rsid w:val="00F37F28"/>
    <w:rsid w:val="00F64F4A"/>
    <w:rsid w:val="00F80451"/>
    <w:rsid w:val="00F91A40"/>
    <w:rsid w:val="00F950E6"/>
    <w:rsid w:val="00FA06FD"/>
    <w:rsid w:val="00FB04F6"/>
    <w:rsid w:val="00FB2CD2"/>
    <w:rsid w:val="00FB5676"/>
    <w:rsid w:val="00FC3493"/>
    <w:rsid w:val="00FC59B2"/>
    <w:rsid w:val="00FD33B6"/>
  </w:rsids>
  <m:mathPr>
    <m:mathFont m:val="Cambria Math"/>
    <m:brkBin m:val="before"/>
    <m:brkBinSub m:val="--"/>
    <m:smallFrac m:val="0"/>
    <m:dispDef/>
    <m:lMargin m:val="0"/>
    <m:rMargin m:val="0"/>
    <m:defJc m:val="centerGroup"/>
    <m:wrapIndent m:val="1440"/>
    <m:intLim m:val="subSup"/>
    <m:naryLim m:val="undOvr"/>
  </m:mathPr>
  <w:themeFontLang w:val="es-MX" w:bidi="mni-IN"/>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52F975CA"/>
  <w15:docId w15:val="{B8483511-AA5B-48F3-B163-3CC405D68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2BF"/>
    <w:pPr>
      <w:spacing w:line="256" w:lineRule="auto"/>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826AB6"/>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826AB6"/>
  </w:style>
  <w:style w:type="paragraph" w:styleId="Piedepgina">
    <w:name w:val="footer"/>
    <w:basedOn w:val="Normal"/>
    <w:link w:val="PiedepginaCar"/>
    <w:uiPriority w:val="99"/>
    <w:unhideWhenUsed/>
    <w:rsid w:val="00826AB6"/>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826AB6"/>
  </w:style>
  <w:style w:type="paragraph" w:styleId="Prrafodelista">
    <w:name w:val="List Paragraph"/>
    <w:basedOn w:val="Normal"/>
    <w:uiPriority w:val="34"/>
    <w:qFormat/>
    <w:rsid w:val="007F5AD1"/>
    <w:pPr>
      <w:spacing w:line="259" w:lineRule="auto"/>
      <w:ind w:left="720"/>
      <w:contextualSpacing/>
    </w:pPr>
  </w:style>
  <w:style w:type="table" w:styleId="Tablaconcuadrcula">
    <w:name w:val="Table Grid"/>
    <w:basedOn w:val="Tablanormal"/>
    <w:uiPriority w:val="39"/>
    <w:rsid w:val="007F5AD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inespaciado">
    <w:name w:val="No Spacing"/>
    <w:uiPriority w:val="1"/>
    <w:qFormat/>
    <w:rsid w:val="00876399"/>
    <w:pPr>
      <w:spacing w:after="0" w:line="240" w:lineRule="auto"/>
    </w:pPr>
  </w:style>
  <w:style w:type="paragraph" w:styleId="NormalWeb">
    <w:name w:val="Normal (Web)"/>
    <w:basedOn w:val="Normal"/>
    <w:uiPriority w:val="99"/>
    <w:semiHidden/>
    <w:unhideWhenUsed/>
    <w:rsid w:val="005B45CC"/>
    <w:pPr>
      <w:spacing w:before="100" w:beforeAutospacing="1" w:after="100" w:afterAutospacing="1" w:line="240" w:lineRule="auto"/>
    </w:pPr>
    <w:rPr>
      <w:rFonts w:ascii="Times New Roman" w:eastAsia="Times New Roman" w:hAnsi="Times New Roman" w:cs="Times New Roman"/>
      <w:sz w:val="24"/>
      <w:szCs w:val="24"/>
      <w:lang w:eastAsia="es-MX"/>
    </w:rPr>
  </w:style>
  <w:style w:type="paragraph" w:styleId="Textodeglobo">
    <w:name w:val="Balloon Text"/>
    <w:basedOn w:val="Normal"/>
    <w:link w:val="TextodegloboCar"/>
    <w:uiPriority w:val="99"/>
    <w:semiHidden/>
    <w:unhideWhenUsed/>
    <w:rsid w:val="009E5039"/>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9E5039"/>
    <w:rPr>
      <w:rFonts w:ascii="Segoe UI" w:hAnsi="Segoe UI" w:cs="Segoe UI"/>
      <w:sz w:val="18"/>
      <w:szCs w:val="18"/>
    </w:rPr>
  </w:style>
  <w:style w:type="character" w:styleId="Hipervnculo">
    <w:name w:val="Hyperlink"/>
    <w:basedOn w:val="Fuentedeprrafopredeter"/>
    <w:uiPriority w:val="99"/>
    <w:semiHidden/>
    <w:unhideWhenUsed/>
    <w:rsid w:val="0010665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9549916">
      <w:bodyDiv w:val="1"/>
      <w:marLeft w:val="0"/>
      <w:marRight w:val="0"/>
      <w:marTop w:val="0"/>
      <w:marBottom w:val="0"/>
      <w:divBdr>
        <w:top w:val="none" w:sz="0" w:space="0" w:color="auto"/>
        <w:left w:val="none" w:sz="0" w:space="0" w:color="auto"/>
        <w:bottom w:val="none" w:sz="0" w:space="0" w:color="auto"/>
        <w:right w:val="none" w:sz="0" w:space="0" w:color="auto"/>
      </w:divBdr>
    </w:div>
    <w:div w:id="240452250">
      <w:bodyDiv w:val="1"/>
      <w:marLeft w:val="0"/>
      <w:marRight w:val="0"/>
      <w:marTop w:val="0"/>
      <w:marBottom w:val="0"/>
      <w:divBdr>
        <w:top w:val="none" w:sz="0" w:space="0" w:color="auto"/>
        <w:left w:val="none" w:sz="0" w:space="0" w:color="auto"/>
        <w:bottom w:val="none" w:sz="0" w:space="0" w:color="auto"/>
        <w:right w:val="none" w:sz="0" w:space="0" w:color="auto"/>
      </w:divBdr>
    </w:div>
    <w:div w:id="295455755">
      <w:bodyDiv w:val="1"/>
      <w:marLeft w:val="0"/>
      <w:marRight w:val="0"/>
      <w:marTop w:val="0"/>
      <w:marBottom w:val="0"/>
      <w:divBdr>
        <w:top w:val="none" w:sz="0" w:space="0" w:color="auto"/>
        <w:left w:val="none" w:sz="0" w:space="0" w:color="auto"/>
        <w:bottom w:val="none" w:sz="0" w:space="0" w:color="auto"/>
        <w:right w:val="none" w:sz="0" w:space="0" w:color="auto"/>
      </w:divBdr>
    </w:div>
    <w:div w:id="407921775">
      <w:bodyDiv w:val="1"/>
      <w:marLeft w:val="0"/>
      <w:marRight w:val="0"/>
      <w:marTop w:val="0"/>
      <w:marBottom w:val="0"/>
      <w:divBdr>
        <w:top w:val="none" w:sz="0" w:space="0" w:color="auto"/>
        <w:left w:val="none" w:sz="0" w:space="0" w:color="auto"/>
        <w:bottom w:val="none" w:sz="0" w:space="0" w:color="auto"/>
        <w:right w:val="none" w:sz="0" w:space="0" w:color="auto"/>
      </w:divBdr>
    </w:div>
    <w:div w:id="1092627313">
      <w:bodyDiv w:val="1"/>
      <w:marLeft w:val="0"/>
      <w:marRight w:val="0"/>
      <w:marTop w:val="0"/>
      <w:marBottom w:val="0"/>
      <w:divBdr>
        <w:top w:val="none" w:sz="0" w:space="0" w:color="auto"/>
        <w:left w:val="none" w:sz="0" w:space="0" w:color="auto"/>
        <w:bottom w:val="none" w:sz="0" w:space="0" w:color="auto"/>
        <w:right w:val="none" w:sz="0" w:space="0" w:color="auto"/>
      </w:divBdr>
    </w:div>
    <w:div w:id="1368338386">
      <w:bodyDiv w:val="1"/>
      <w:marLeft w:val="0"/>
      <w:marRight w:val="0"/>
      <w:marTop w:val="0"/>
      <w:marBottom w:val="0"/>
      <w:divBdr>
        <w:top w:val="none" w:sz="0" w:space="0" w:color="auto"/>
        <w:left w:val="none" w:sz="0" w:space="0" w:color="auto"/>
        <w:bottom w:val="none" w:sz="0" w:space="0" w:color="auto"/>
        <w:right w:val="none" w:sz="0" w:space="0" w:color="auto"/>
      </w:divBdr>
      <w:divsChild>
        <w:div w:id="1083258682">
          <w:marLeft w:val="547"/>
          <w:marRight w:val="0"/>
          <w:marTop w:val="200"/>
          <w:marBottom w:val="0"/>
          <w:divBdr>
            <w:top w:val="none" w:sz="0" w:space="0" w:color="auto"/>
            <w:left w:val="none" w:sz="0" w:space="0" w:color="auto"/>
            <w:bottom w:val="none" w:sz="0" w:space="0" w:color="auto"/>
            <w:right w:val="none" w:sz="0" w:space="0" w:color="auto"/>
          </w:divBdr>
        </w:div>
      </w:divsChild>
    </w:div>
    <w:div w:id="1731265763">
      <w:bodyDiv w:val="1"/>
      <w:marLeft w:val="0"/>
      <w:marRight w:val="0"/>
      <w:marTop w:val="0"/>
      <w:marBottom w:val="0"/>
      <w:divBdr>
        <w:top w:val="none" w:sz="0" w:space="0" w:color="auto"/>
        <w:left w:val="none" w:sz="0" w:space="0" w:color="auto"/>
        <w:bottom w:val="none" w:sz="0" w:space="0" w:color="auto"/>
        <w:right w:val="none" w:sz="0" w:space="0" w:color="auto"/>
      </w:divBdr>
    </w:div>
    <w:div w:id="1881477512">
      <w:bodyDiv w:val="1"/>
      <w:marLeft w:val="0"/>
      <w:marRight w:val="0"/>
      <w:marTop w:val="0"/>
      <w:marBottom w:val="0"/>
      <w:divBdr>
        <w:top w:val="none" w:sz="0" w:space="0" w:color="auto"/>
        <w:left w:val="none" w:sz="0" w:space="0" w:color="auto"/>
        <w:bottom w:val="none" w:sz="0" w:space="0" w:color="auto"/>
        <w:right w:val="none" w:sz="0" w:space="0" w:color="auto"/>
      </w:divBdr>
    </w:div>
    <w:div w:id="2049640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inegi.org.mx/app/preciospromedio/"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inegi.org.mx/app/preciospromedio/"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A463C3-B464-4882-882C-3813728F32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1182</Words>
  <Characters>6504</Characters>
  <Application>Microsoft Office Word</Application>
  <DocSecurity>0</DocSecurity>
  <Lines>54</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Victor Lara</dc:creator>
  <cp:lastModifiedBy>admin</cp:lastModifiedBy>
  <cp:revision>5</cp:revision>
  <cp:lastPrinted>2017-10-02T20:53:00Z</cp:lastPrinted>
  <dcterms:created xsi:type="dcterms:W3CDTF">2019-10-08T00:23:00Z</dcterms:created>
  <dcterms:modified xsi:type="dcterms:W3CDTF">2019-10-22T20:10:00Z</dcterms:modified>
</cp:coreProperties>
</file>